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73790" w14:textId="77777777" w:rsidR="005C4786" w:rsidRDefault="005C4786" w:rsidP="005C4786">
      <w:pPr>
        <w:jc w:val="center"/>
        <w:rPr>
          <w:rFonts w:ascii="Times New Roman" w:hAnsi="Times New Roman"/>
          <w:sz w:val="28"/>
          <w:szCs w:val="28"/>
        </w:rPr>
      </w:pPr>
      <w:r>
        <w:rPr>
          <w:rFonts w:ascii="Times New Roman" w:hAnsi="Times New Roman"/>
          <w:sz w:val="28"/>
          <w:szCs w:val="28"/>
        </w:rPr>
        <w:t xml:space="preserve">Anordning om ikrafttræden for Grønland af visse bestemmelser i forskellige </w:t>
      </w:r>
    </w:p>
    <w:p w14:paraId="76CB65A0" w14:textId="77777777" w:rsidR="005C4786" w:rsidRDefault="005C4786" w:rsidP="005C4786">
      <w:pPr>
        <w:jc w:val="center"/>
        <w:rPr>
          <w:rFonts w:ascii="Times New Roman" w:hAnsi="Times New Roman"/>
          <w:sz w:val="28"/>
          <w:szCs w:val="28"/>
        </w:rPr>
      </w:pPr>
      <w:r>
        <w:rPr>
          <w:rFonts w:ascii="Times New Roman" w:hAnsi="Times New Roman"/>
          <w:sz w:val="28"/>
          <w:szCs w:val="28"/>
        </w:rPr>
        <w:t>ændringslove om erhvervsdrivende fonde</w:t>
      </w:r>
    </w:p>
    <w:p w14:paraId="7406B4EA" w14:textId="77777777" w:rsidR="005C4786" w:rsidRDefault="005C4786" w:rsidP="005C4786">
      <w:pPr>
        <w:jc w:val="center"/>
        <w:rPr>
          <w:rFonts w:ascii="Times New Roman" w:hAnsi="Times New Roman"/>
          <w:sz w:val="20"/>
        </w:rPr>
      </w:pPr>
    </w:p>
    <w:p w14:paraId="405776B6" w14:textId="77777777" w:rsidR="005C4786" w:rsidRDefault="005C4786" w:rsidP="005C4786">
      <w:pPr>
        <w:jc w:val="center"/>
        <w:rPr>
          <w:rFonts w:ascii="Times New Roman" w:hAnsi="Times New Roman"/>
          <w:sz w:val="20"/>
        </w:rPr>
      </w:pPr>
    </w:p>
    <w:p w14:paraId="7671E7C6" w14:textId="77777777" w:rsidR="005C4786" w:rsidRDefault="005C4786" w:rsidP="005C4786">
      <w:pPr>
        <w:jc w:val="center"/>
        <w:rPr>
          <w:rFonts w:ascii="Times New Roman" w:hAnsi="Times New Roman"/>
          <w:sz w:val="20"/>
        </w:rPr>
      </w:pPr>
      <w:r>
        <w:rPr>
          <w:rFonts w:ascii="Times New Roman" w:hAnsi="Times New Roman"/>
          <w:sz w:val="20"/>
        </w:rPr>
        <w:t>VI MARGRETHE DEN ANDEN, af Guds Nåde Danmarks Dronning, gør vitterligt:</w:t>
      </w:r>
    </w:p>
    <w:p w14:paraId="0AD597F6" w14:textId="77777777" w:rsidR="005C4786" w:rsidRDefault="005C4786" w:rsidP="005C4786">
      <w:pPr>
        <w:jc w:val="center"/>
        <w:rPr>
          <w:rFonts w:ascii="Times New Roman" w:hAnsi="Times New Roman"/>
          <w:sz w:val="20"/>
        </w:rPr>
      </w:pPr>
    </w:p>
    <w:p w14:paraId="3F3363C0" w14:textId="77777777" w:rsidR="005C4786" w:rsidRDefault="005C4786" w:rsidP="005C4786">
      <w:pPr>
        <w:tabs>
          <w:tab w:val="left" w:pos="284"/>
        </w:tabs>
        <w:rPr>
          <w:rFonts w:ascii="Times New Roman" w:hAnsi="Times New Roman"/>
          <w:sz w:val="20"/>
        </w:rPr>
      </w:pPr>
      <w:r>
        <w:rPr>
          <w:rFonts w:ascii="Times New Roman" w:hAnsi="Times New Roman"/>
          <w:sz w:val="20"/>
        </w:rPr>
        <w:tab/>
        <w:t>I medfør af § 14, stk. 1, i lov nr. 262 af 16. marts 2016</w:t>
      </w:r>
      <w:r>
        <w:rPr>
          <w:rStyle w:val="Slutnotehenvisning"/>
          <w:rFonts w:ascii="Times New Roman" w:hAnsi="Times New Roman"/>
          <w:sz w:val="20"/>
        </w:rPr>
        <w:endnoteReference w:id="1"/>
      </w:r>
      <w:r>
        <w:rPr>
          <w:rFonts w:ascii="Times New Roman" w:hAnsi="Times New Roman"/>
          <w:sz w:val="20"/>
        </w:rPr>
        <w:t xml:space="preserve"> om ændring af selskabsloven, lov om visse erhvervsdrivende virksomheder, lov om erhvervsdrivende fonde og forskellige andre love (Indførelse af register over reelle ejere), § 15, stk. 2, i lov nr. 631 af 8. juni 2016</w:t>
      </w:r>
      <w:r>
        <w:rPr>
          <w:rStyle w:val="Slutnotehenvisning"/>
          <w:rFonts w:ascii="Times New Roman" w:hAnsi="Times New Roman"/>
          <w:sz w:val="20"/>
        </w:rPr>
        <w:endnoteReference w:id="2"/>
      </w:r>
      <w:r>
        <w:rPr>
          <w:rFonts w:ascii="Times New Roman" w:hAnsi="Times New Roman"/>
          <w:sz w:val="20"/>
        </w:rPr>
        <w:t xml:space="preserve"> om ændring af revisorloven og andre love (Gennemførelse af ændringer i revisordirektivet og valgmuligheder i forordningen om særlige krav til revision af virksomheder af interesse for offentligheden), § 22, stk. 3, i lov nr. 665 af 8. juni 2017</w:t>
      </w:r>
      <w:r>
        <w:rPr>
          <w:rStyle w:val="Slutnotehenvisning"/>
          <w:rFonts w:ascii="Times New Roman" w:hAnsi="Times New Roman"/>
          <w:sz w:val="20"/>
        </w:rPr>
        <w:endnoteReference w:id="3"/>
      </w:r>
      <w:r>
        <w:rPr>
          <w:rFonts w:ascii="Times New Roman" w:hAnsi="Times New Roman"/>
          <w:sz w:val="20"/>
        </w:rPr>
        <w:t xml:space="preserve"> om ændring af lov om finansiel virksomhed, lov om finansielle rådgivere og boligkreditformidlere og forskellige andre love (Gennemførelse af direktiv om markeder for finansielle instrumenter (</w:t>
      </w:r>
      <w:proofErr w:type="spellStart"/>
      <w:r>
        <w:rPr>
          <w:rFonts w:ascii="Times New Roman" w:hAnsi="Times New Roman"/>
          <w:sz w:val="20"/>
        </w:rPr>
        <w:t>MiFID</w:t>
      </w:r>
      <w:proofErr w:type="spellEnd"/>
      <w:r>
        <w:rPr>
          <w:rFonts w:ascii="Times New Roman" w:hAnsi="Times New Roman"/>
          <w:sz w:val="20"/>
        </w:rPr>
        <w:t xml:space="preserve"> II) og ændringer som følge af forordning om markeder for finansielle instrumenter (</w:t>
      </w:r>
      <w:proofErr w:type="spellStart"/>
      <w:r>
        <w:rPr>
          <w:rFonts w:ascii="Times New Roman" w:hAnsi="Times New Roman"/>
          <w:sz w:val="20"/>
        </w:rPr>
        <w:t>MiFIF</w:t>
      </w:r>
      <w:proofErr w:type="spellEnd"/>
      <w:r>
        <w:rPr>
          <w:rFonts w:ascii="Times New Roman" w:hAnsi="Times New Roman"/>
          <w:sz w:val="20"/>
        </w:rPr>
        <w:t>) m.v.), § 9 i lov nr. 1665 af 26. december 2017</w:t>
      </w:r>
      <w:r>
        <w:rPr>
          <w:rStyle w:val="Slutnotehenvisning"/>
          <w:rFonts w:ascii="Times New Roman" w:hAnsi="Times New Roman"/>
          <w:sz w:val="20"/>
        </w:rPr>
        <w:endnoteReference w:id="4"/>
      </w:r>
      <w:r>
        <w:rPr>
          <w:rFonts w:ascii="Times New Roman" w:hAnsi="Times New Roman"/>
          <w:sz w:val="20"/>
        </w:rPr>
        <w:t xml:space="preserve"> om ændring af lov om Det Centrale Virksomhedsregister og forskellige andre love (Ændring af reglerne om offentliggørelse af privatadresser i CVR m.v.), § 5 i lov nr. 676 af 29. maj 2018</w:t>
      </w:r>
      <w:r>
        <w:rPr>
          <w:rStyle w:val="Slutnotehenvisning"/>
          <w:rFonts w:ascii="Times New Roman" w:hAnsi="Times New Roman"/>
          <w:sz w:val="20"/>
        </w:rPr>
        <w:endnoteReference w:id="5"/>
      </w:r>
      <w:r>
        <w:rPr>
          <w:rFonts w:ascii="Times New Roman" w:hAnsi="Times New Roman"/>
          <w:sz w:val="20"/>
        </w:rPr>
        <w:t xml:space="preserve"> om ændring af selskabsloven, lov om visse erhvervsdrivende virksomheder og lov om erhvervsdrivende fonde (Ændrede krav til ejerregistrering m.v.) og § 14, stk. 1, i lov nr. 554 af 7. maj 2019</w:t>
      </w:r>
      <w:r>
        <w:rPr>
          <w:rStyle w:val="Slutnotehenvisning"/>
          <w:rFonts w:ascii="Times New Roman" w:hAnsi="Times New Roman"/>
          <w:sz w:val="20"/>
        </w:rPr>
        <w:endnoteReference w:id="6"/>
      </w:r>
      <w:r>
        <w:rPr>
          <w:rFonts w:ascii="Times New Roman" w:hAnsi="Times New Roman"/>
          <w:sz w:val="20"/>
        </w:rPr>
        <w:t xml:space="preserve"> om ændring af selskabsloven, lov om visse erhvervsvirksomheder, lov om erhvervsdrivende fonde og forskellige andre love (Ændring af reglerne om reelle ejere som følge af 5. hvidvaskdirektiv) bestemmes:</w:t>
      </w:r>
    </w:p>
    <w:p w14:paraId="6F46E51A" w14:textId="77777777" w:rsidR="005C4786" w:rsidRDefault="005C4786" w:rsidP="005C4786">
      <w:pPr>
        <w:tabs>
          <w:tab w:val="left" w:pos="284"/>
        </w:tabs>
        <w:rPr>
          <w:rFonts w:ascii="Times New Roman" w:hAnsi="Times New Roman"/>
          <w:sz w:val="20"/>
        </w:rPr>
      </w:pPr>
    </w:p>
    <w:p w14:paraId="0DCFF9CE" w14:textId="77777777" w:rsidR="005C4786" w:rsidRDefault="005C4786" w:rsidP="005C4786">
      <w:pPr>
        <w:tabs>
          <w:tab w:val="left" w:pos="284"/>
        </w:tabs>
        <w:rPr>
          <w:rFonts w:ascii="Times New Roman" w:hAnsi="Times New Roman"/>
          <w:sz w:val="20"/>
        </w:rPr>
      </w:pPr>
      <w:r>
        <w:rPr>
          <w:rFonts w:ascii="Times New Roman" w:hAnsi="Times New Roman"/>
          <w:sz w:val="20"/>
        </w:rPr>
        <w:tab/>
      </w:r>
      <w:r>
        <w:rPr>
          <w:rFonts w:ascii="Times New Roman" w:hAnsi="Times New Roman"/>
          <w:b/>
          <w:sz w:val="20"/>
        </w:rPr>
        <w:t>§ 1.</w:t>
      </w:r>
      <w:r>
        <w:rPr>
          <w:rFonts w:ascii="Times New Roman" w:hAnsi="Times New Roman"/>
          <w:sz w:val="20"/>
        </w:rPr>
        <w:t xml:space="preserve"> De ændringer af lov om erhvervsdrivende fonde, der er gennemført ved § 3 i lov nr. 262 af 16. marts 2016 om ændring af selskabsloven, lov om visse erhvervsdrivende virksomheder, lov om erhvervsdrivende fonde og forskellige andre love (Indførelse af register over reelle ejere), § 4 i lov nr. 631 af 8. juni 2016 om ændring af revisorloven og andre love (Gennemførelse af ændringer i revisordirektivet og valgmuligheder i forordningen om særlige krav til revision af virksomheder af interesse for offentligheden), § 11 i lov nr. 665 af 8. juni 2017 om ændring af lov om finansiel virksomhed, lov om finansielle rådgivere og boligkreditformidlere og forskellige andre love (Gennemførelse af direktiv om markeder for finansielle instrumenter (</w:t>
      </w:r>
      <w:proofErr w:type="spellStart"/>
      <w:r>
        <w:rPr>
          <w:rFonts w:ascii="Times New Roman" w:hAnsi="Times New Roman"/>
          <w:sz w:val="20"/>
        </w:rPr>
        <w:t>MiFID</w:t>
      </w:r>
      <w:proofErr w:type="spellEnd"/>
      <w:r>
        <w:rPr>
          <w:rFonts w:ascii="Times New Roman" w:hAnsi="Times New Roman"/>
          <w:sz w:val="20"/>
        </w:rPr>
        <w:t xml:space="preserve"> II) og ændringer som følge af forordning om markeder for finansielle instrumenter (</w:t>
      </w:r>
      <w:proofErr w:type="spellStart"/>
      <w:r>
        <w:rPr>
          <w:rFonts w:ascii="Times New Roman" w:hAnsi="Times New Roman"/>
          <w:sz w:val="20"/>
        </w:rPr>
        <w:t>MiFIF</w:t>
      </w:r>
      <w:proofErr w:type="spellEnd"/>
      <w:r>
        <w:rPr>
          <w:rFonts w:ascii="Times New Roman" w:hAnsi="Times New Roman"/>
          <w:sz w:val="20"/>
        </w:rPr>
        <w:t>) m.v.), § 4 i lov nr. 1665 af 26. december 2017 om ændring af lov om Det Centrale Virksomhedsregister og forskellige andre love (Ændring af reglerne om offentliggørelse af privatadresser i CVR m.v.), § 3 i lov nr. 676 af 29. maj 2018 om ændring af selskabsloven, lov om visse erhvervsdrivende virksomheder og lov om erhvervsdrivende fonde (Ændrede krav til ejerregistrering m.v.) og § 3 i lov nr. 554 af 7. maj 2019 om ændring af selskabsloven, lov om visse erhvervsvirksomheder, lov om erhvervsdrivende fonde og forskellige andre love (Ændring af reglerne om reelle ejere som følge af 5. hvidvaskdirektiv) sættes i kraft for Grønland i overensstemmelse med § 2 i denne anordning.</w:t>
      </w:r>
    </w:p>
    <w:p w14:paraId="7EAF01EA" w14:textId="77777777" w:rsidR="005C4786" w:rsidRDefault="005C4786" w:rsidP="005C4786">
      <w:pPr>
        <w:tabs>
          <w:tab w:val="left" w:pos="284"/>
        </w:tabs>
        <w:rPr>
          <w:rFonts w:ascii="Times New Roman" w:hAnsi="Times New Roman"/>
          <w:sz w:val="20"/>
        </w:rPr>
      </w:pPr>
    </w:p>
    <w:p w14:paraId="1AE9630C" w14:textId="77777777" w:rsidR="005C4786" w:rsidRDefault="005C4786" w:rsidP="005C4786">
      <w:pPr>
        <w:tabs>
          <w:tab w:val="left" w:pos="284"/>
        </w:tabs>
        <w:rPr>
          <w:rFonts w:ascii="Times New Roman" w:hAnsi="Times New Roman"/>
          <w:sz w:val="20"/>
        </w:rPr>
      </w:pPr>
      <w:r>
        <w:rPr>
          <w:rFonts w:ascii="Times New Roman" w:hAnsi="Times New Roman"/>
          <w:b/>
          <w:sz w:val="20"/>
        </w:rPr>
        <w:tab/>
        <w:t>§ 2.</w:t>
      </w:r>
      <w:r>
        <w:rPr>
          <w:rFonts w:ascii="Times New Roman" w:hAnsi="Times New Roman"/>
          <w:sz w:val="20"/>
        </w:rPr>
        <w:t xml:space="preserve"> I lov om erhvervsdrivende fonde, som sat i kraft for Grønland ved kongelig anordning nr. 485 af 14. maj 2018 om ikrafttræden for Grønland af lov om erhvervsdrivende fonde, foretages følgende ændringer:</w:t>
      </w:r>
    </w:p>
    <w:p w14:paraId="068992B6" w14:textId="77777777" w:rsidR="005C4786" w:rsidRDefault="005C4786" w:rsidP="005C4786">
      <w:pPr>
        <w:tabs>
          <w:tab w:val="left" w:pos="284"/>
        </w:tabs>
        <w:rPr>
          <w:rFonts w:ascii="Times New Roman" w:hAnsi="Times New Roman"/>
          <w:sz w:val="20"/>
        </w:rPr>
      </w:pPr>
    </w:p>
    <w:p w14:paraId="66CE114E" w14:textId="77777777" w:rsidR="005C4786" w:rsidRDefault="005C4786" w:rsidP="005C4786">
      <w:pPr>
        <w:pStyle w:val="Listeafsnit"/>
        <w:numPr>
          <w:ilvl w:val="0"/>
          <w:numId w:val="1"/>
        </w:numPr>
        <w:tabs>
          <w:tab w:val="left" w:pos="284"/>
        </w:tabs>
        <w:rPr>
          <w:rFonts w:ascii="Times New Roman" w:hAnsi="Times New Roman"/>
          <w:sz w:val="20"/>
        </w:rPr>
      </w:pPr>
      <w:r>
        <w:rPr>
          <w:rFonts w:ascii="Times New Roman" w:hAnsi="Times New Roman"/>
          <w:sz w:val="20"/>
        </w:rPr>
        <w:t xml:space="preserve">I </w:t>
      </w:r>
      <w:r>
        <w:rPr>
          <w:rFonts w:ascii="Times New Roman" w:hAnsi="Times New Roman"/>
          <w:i/>
          <w:sz w:val="20"/>
        </w:rPr>
        <w:t>§ 3</w:t>
      </w:r>
      <w:r>
        <w:rPr>
          <w:rFonts w:ascii="Times New Roman" w:hAnsi="Times New Roman"/>
          <w:sz w:val="20"/>
        </w:rPr>
        <w:t xml:space="preserve"> indsættes som </w:t>
      </w:r>
      <w:r>
        <w:rPr>
          <w:rFonts w:ascii="Times New Roman" w:hAnsi="Times New Roman"/>
          <w:i/>
          <w:sz w:val="20"/>
        </w:rPr>
        <w:t>stk. 3</w:t>
      </w:r>
      <w:r>
        <w:rPr>
          <w:rFonts w:ascii="Times New Roman" w:hAnsi="Times New Roman"/>
          <w:sz w:val="20"/>
        </w:rPr>
        <w:t>:</w:t>
      </w:r>
    </w:p>
    <w:p w14:paraId="0A7AB83A" w14:textId="37D22DD1" w:rsidR="005C4786" w:rsidRDefault="005C4786" w:rsidP="005C4786">
      <w:pPr>
        <w:pStyle w:val="Listeafsnit"/>
        <w:tabs>
          <w:tab w:val="left" w:pos="284"/>
        </w:tabs>
        <w:ind w:left="709" w:firstLine="142"/>
        <w:rPr>
          <w:rFonts w:ascii="Times New Roman" w:hAnsi="Times New Roman"/>
          <w:sz w:val="20"/>
        </w:rPr>
      </w:pPr>
      <w:r>
        <w:rPr>
          <w:rFonts w:ascii="Times New Roman" w:hAnsi="Times New Roman"/>
          <w:color w:val="000000"/>
          <w:sz w:val="20"/>
          <w:shd w:val="clear" w:color="auto" w:fill="FFFFFF"/>
        </w:rPr>
        <w:t>»</w:t>
      </w:r>
      <w:r>
        <w:rPr>
          <w:rFonts w:ascii="Times New Roman" w:hAnsi="Times New Roman"/>
          <w:i/>
          <w:color w:val="000000"/>
          <w:sz w:val="20"/>
          <w:shd w:val="clear" w:color="auto" w:fill="FFFFFF"/>
        </w:rPr>
        <w:t>Stk. 3.</w:t>
      </w:r>
      <w:r>
        <w:rPr>
          <w:rFonts w:ascii="Times New Roman" w:hAnsi="Times New Roman"/>
          <w:color w:val="000000"/>
          <w:sz w:val="20"/>
          <w:shd w:val="clear" w:color="auto" w:fill="FFFFFF"/>
        </w:rPr>
        <w:t xml:space="preserve"> § 21 a om registrering af reelle ejere finder anvendelse for fonde, som falder uden for </w:t>
      </w:r>
      <w:r w:rsidR="00375333">
        <w:rPr>
          <w:rFonts w:ascii="Times New Roman" w:hAnsi="Times New Roman"/>
          <w:color w:val="000000"/>
          <w:sz w:val="20"/>
          <w:shd w:val="clear" w:color="auto" w:fill="FFFFFF"/>
        </w:rPr>
        <w:t>anordningens</w:t>
      </w:r>
      <w:r>
        <w:rPr>
          <w:rFonts w:ascii="Times New Roman" w:hAnsi="Times New Roman"/>
          <w:color w:val="000000"/>
          <w:sz w:val="20"/>
          <w:shd w:val="clear" w:color="auto" w:fill="FFFFFF"/>
        </w:rPr>
        <w:t xml:space="preserve"> område efter stk. 1, eller som er undtaget fra </w:t>
      </w:r>
      <w:r w:rsidR="00375333">
        <w:rPr>
          <w:rFonts w:ascii="Times New Roman" w:hAnsi="Times New Roman"/>
          <w:color w:val="000000"/>
          <w:sz w:val="20"/>
          <w:shd w:val="clear" w:color="auto" w:fill="FFFFFF"/>
        </w:rPr>
        <w:t>anordningen</w:t>
      </w:r>
      <w:r>
        <w:rPr>
          <w:rFonts w:ascii="Times New Roman" w:hAnsi="Times New Roman"/>
          <w:color w:val="000000"/>
          <w:sz w:val="20"/>
          <w:shd w:val="clear" w:color="auto" w:fill="FFFFFF"/>
        </w:rPr>
        <w:t xml:space="preserve"> i medfør af stk. 2.«</w:t>
      </w:r>
    </w:p>
    <w:p w14:paraId="20FA4936" w14:textId="77777777" w:rsidR="005C4786" w:rsidRDefault="005C4786" w:rsidP="005C4786">
      <w:pPr>
        <w:tabs>
          <w:tab w:val="left" w:pos="284"/>
        </w:tabs>
        <w:rPr>
          <w:rFonts w:ascii="Times New Roman" w:hAnsi="Times New Roman"/>
          <w:sz w:val="20"/>
        </w:rPr>
      </w:pPr>
    </w:p>
    <w:p w14:paraId="3CD762AD" w14:textId="77777777" w:rsidR="005C4786" w:rsidRDefault="005C4786" w:rsidP="005C4786">
      <w:pPr>
        <w:pStyle w:val="Listeafsnit"/>
        <w:numPr>
          <w:ilvl w:val="0"/>
          <w:numId w:val="1"/>
        </w:numPr>
        <w:tabs>
          <w:tab w:val="left" w:pos="284"/>
        </w:tabs>
        <w:rPr>
          <w:rFonts w:ascii="Times New Roman" w:hAnsi="Times New Roman"/>
          <w:sz w:val="20"/>
        </w:rPr>
      </w:pPr>
      <w:r>
        <w:rPr>
          <w:rFonts w:ascii="Times New Roman" w:hAnsi="Times New Roman"/>
          <w:i/>
          <w:sz w:val="20"/>
        </w:rPr>
        <w:t>§ 18</w:t>
      </w:r>
      <w:r>
        <w:rPr>
          <w:rFonts w:ascii="Times New Roman" w:hAnsi="Times New Roman"/>
          <w:sz w:val="20"/>
        </w:rPr>
        <w:t xml:space="preserve"> affattes således:</w:t>
      </w:r>
    </w:p>
    <w:p w14:paraId="2DF15A52" w14:textId="1534734F" w:rsidR="005C4786" w:rsidRDefault="005C4786" w:rsidP="005C4786">
      <w:pPr>
        <w:pStyle w:val="Listeafsnit"/>
        <w:tabs>
          <w:tab w:val="left" w:pos="284"/>
        </w:tabs>
        <w:ind w:firstLine="131"/>
        <w:rPr>
          <w:rFonts w:ascii="Times New Roman" w:hAnsi="Times New Roman"/>
          <w:color w:val="000000"/>
          <w:sz w:val="20"/>
          <w:shd w:val="clear" w:color="auto" w:fill="FFFFFF"/>
        </w:rPr>
      </w:pPr>
      <w:r>
        <w:rPr>
          <w:rFonts w:ascii="Times New Roman" w:hAnsi="Times New Roman"/>
          <w:sz w:val="20"/>
          <w:shd w:val="clear" w:color="auto" w:fill="FFFFFF"/>
        </w:rPr>
        <w:t>»</w:t>
      </w:r>
      <w:r>
        <w:rPr>
          <w:rFonts w:ascii="Times New Roman" w:hAnsi="Times New Roman"/>
          <w:b/>
          <w:sz w:val="20"/>
          <w:shd w:val="clear" w:color="auto" w:fill="FFFFFF"/>
        </w:rPr>
        <w:t>§ 18.</w:t>
      </w:r>
      <w:r>
        <w:rPr>
          <w:rFonts w:ascii="Times New Roman" w:hAnsi="Times New Roman"/>
          <w:color w:val="000000"/>
          <w:sz w:val="20"/>
          <w:shd w:val="clear" w:color="auto" w:fill="FFFFFF"/>
        </w:rPr>
        <w:t xml:space="preserve"> Oplysning om navn på personer registreret i henhold til denne </w:t>
      </w:r>
      <w:r w:rsidR="00375333">
        <w:rPr>
          <w:rFonts w:ascii="Times New Roman" w:hAnsi="Times New Roman"/>
          <w:color w:val="000000"/>
          <w:sz w:val="20"/>
          <w:shd w:val="clear" w:color="auto" w:fill="FFFFFF"/>
        </w:rPr>
        <w:t>anordning</w:t>
      </w:r>
      <w:r>
        <w:rPr>
          <w:rFonts w:ascii="Times New Roman" w:hAnsi="Times New Roman"/>
          <w:color w:val="000000"/>
          <w:sz w:val="20"/>
          <w:shd w:val="clear" w:color="auto" w:fill="FFFFFF"/>
        </w:rPr>
        <w:t xml:space="preserve"> offentliggøres til enhver tid i Det Centrale Virksomhedsregister, medmindre Erhvervsstyrelsen træffer anden beslutning. Dette gælder for både aktive og ophørte erhvervsdrivende fonde.</w:t>
      </w:r>
    </w:p>
    <w:p w14:paraId="1F22BC9B" w14:textId="18386303" w:rsidR="005C4786" w:rsidRDefault="005C4786" w:rsidP="005C4786">
      <w:pPr>
        <w:pStyle w:val="Listeafsnit"/>
        <w:tabs>
          <w:tab w:val="left" w:pos="284"/>
        </w:tabs>
        <w:ind w:firstLine="131"/>
        <w:rPr>
          <w:rFonts w:ascii="Times New Roman" w:hAnsi="Times New Roman"/>
          <w:color w:val="000000"/>
          <w:sz w:val="20"/>
          <w:shd w:val="clear" w:color="auto" w:fill="FFFFFF"/>
        </w:rPr>
      </w:pPr>
      <w:r>
        <w:rPr>
          <w:rFonts w:ascii="Times New Roman" w:hAnsi="Times New Roman"/>
          <w:i/>
          <w:sz w:val="20"/>
          <w:shd w:val="clear" w:color="auto" w:fill="FFFFFF"/>
        </w:rPr>
        <w:t>Stk. 2.</w:t>
      </w:r>
      <w:r>
        <w:rPr>
          <w:rFonts w:ascii="Times New Roman" w:hAnsi="Times New Roman"/>
          <w:color w:val="000000"/>
          <w:sz w:val="20"/>
          <w:shd w:val="clear" w:color="auto" w:fill="FFFFFF"/>
        </w:rPr>
        <w:t xml:space="preserve"> Oplysning om adresse for personer registreret i henhold til denne </w:t>
      </w:r>
      <w:r w:rsidR="00375333">
        <w:rPr>
          <w:rFonts w:ascii="Times New Roman" w:hAnsi="Times New Roman"/>
          <w:color w:val="000000"/>
          <w:sz w:val="20"/>
          <w:shd w:val="clear" w:color="auto" w:fill="FFFFFF"/>
        </w:rPr>
        <w:t>anordning</w:t>
      </w:r>
      <w:r>
        <w:rPr>
          <w:rFonts w:ascii="Times New Roman" w:hAnsi="Times New Roman"/>
          <w:color w:val="000000"/>
          <w:sz w:val="20"/>
          <w:shd w:val="clear" w:color="auto" w:fill="FFFFFF"/>
        </w:rPr>
        <w:t xml:space="preserve"> offentliggøres i Det Centrale Virksomhedsregister, indtil der er forløbet 5 år, efter at personen er ophørt med at være aktiv i en virksomhed, som er registreret i Det Centrale Virksomhedsregister. Dette gælder for både aktive og ophørte virksomheder. For personer, der har registreret navne- og adressebeskyttelse i Det Centrale Personregister, offentliggøres adressen ikke i Det Centrale Virksomhedsregister, så længe beskyttelsen er gældende i Det Centrale Personregister, medmindre personen anmoder Erhvervsstyrelsen om, at adressebeskyttelsen ikke skal gælde i Det Centrale Virksomhedsregister. Personer, der ikke har et cpr-nummer, kan anmode Erhvervsstyrelsen om adressebeskyttelse i Det Centrale Virksomhedsregister.</w:t>
      </w:r>
    </w:p>
    <w:p w14:paraId="12AA3E5C" w14:textId="77777777" w:rsidR="005C4786" w:rsidRDefault="005C4786" w:rsidP="005C4786">
      <w:pPr>
        <w:pStyle w:val="Listeafsnit"/>
        <w:tabs>
          <w:tab w:val="left" w:pos="284"/>
        </w:tabs>
        <w:ind w:firstLine="131"/>
        <w:rPr>
          <w:rFonts w:ascii="Times New Roman" w:hAnsi="Times New Roman"/>
          <w:color w:val="000000"/>
          <w:sz w:val="20"/>
          <w:shd w:val="clear" w:color="auto" w:fill="FFFFFF"/>
        </w:rPr>
      </w:pPr>
      <w:r>
        <w:rPr>
          <w:rFonts w:ascii="Times New Roman" w:hAnsi="Times New Roman"/>
          <w:i/>
          <w:sz w:val="20"/>
          <w:shd w:val="clear" w:color="auto" w:fill="FFFFFF"/>
        </w:rPr>
        <w:t>Stk. 3.</w:t>
      </w:r>
      <w:r>
        <w:rPr>
          <w:rFonts w:ascii="Times New Roman" w:hAnsi="Times New Roman"/>
          <w:color w:val="000000"/>
          <w:sz w:val="20"/>
          <w:shd w:val="clear" w:color="auto" w:fill="FFFFFF"/>
        </w:rPr>
        <w:t> Erhvervsstyrelsen fastsætter de nærmere vilkår og betingelser for adressebeskyttelse og for videregivelse af beskyttede adresser for personer uden cpr-nummer, jf. stk. 2, 4. pkt.</w:t>
      </w:r>
    </w:p>
    <w:p w14:paraId="2826FDCE" w14:textId="77777777" w:rsidR="005C4786" w:rsidRDefault="005C4786" w:rsidP="005C4786">
      <w:pPr>
        <w:pStyle w:val="Listeafsnit"/>
        <w:tabs>
          <w:tab w:val="left" w:pos="284"/>
        </w:tabs>
        <w:ind w:firstLine="131"/>
        <w:rPr>
          <w:rFonts w:ascii="Times New Roman" w:hAnsi="Times New Roman"/>
          <w:color w:val="000000"/>
          <w:sz w:val="20"/>
          <w:shd w:val="clear" w:color="auto" w:fill="FFFFFF"/>
        </w:rPr>
      </w:pPr>
      <w:r>
        <w:rPr>
          <w:rFonts w:ascii="Times New Roman" w:hAnsi="Times New Roman"/>
          <w:i/>
          <w:sz w:val="20"/>
          <w:shd w:val="clear" w:color="auto" w:fill="FFFFFF"/>
        </w:rPr>
        <w:lastRenderedPageBreak/>
        <w:t>Stk. 4.</w:t>
      </w:r>
      <w:r>
        <w:rPr>
          <w:rFonts w:ascii="Times New Roman" w:hAnsi="Times New Roman"/>
          <w:color w:val="000000"/>
          <w:sz w:val="20"/>
          <w:shd w:val="clear" w:color="auto" w:fill="FFFFFF"/>
        </w:rPr>
        <w:t> Opdatering af personoplysninger omfattet af stk. 1 og 2 for fuldt ansvarlige deltagere, ejere og ledelsesmedlemmer ophører, 5 år efter at den pågældende person ophører med at være aktiv i en virksomhed, som er registreret i Det Centrale Virksomhedsregister.«</w:t>
      </w:r>
    </w:p>
    <w:p w14:paraId="7AE38C04" w14:textId="77777777" w:rsidR="005C4786" w:rsidRDefault="005C4786" w:rsidP="005C4786">
      <w:pPr>
        <w:pStyle w:val="Listeafsnit"/>
        <w:tabs>
          <w:tab w:val="left" w:pos="284"/>
        </w:tabs>
        <w:rPr>
          <w:rFonts w:ascii="Times New Roman" w:hAnsi="Times New Roman"/>
          <w:sz w:val="20"/>
        </w:rPr>
      </w:pPr>
    </w:p>
    <w:p w14:paraId="067F80E6" w14:textId="77777777" w:rsidR="005C4786" w:rsidRDefault="005C4786" w:rsidP="005C4786">
      <w:pPr>
        <w:pStyle w:val="Listeafsnit"/>
        <w:numPr>
          <w:ilvl w:val="0"/>
          <w:numId w:val="1"/>
        </w:numPr>
        <w:tabs>
          <w:tab w:val="left" w:pos="284"/>
        </w:tabs>
        <w:rPr>
          <w:rFonts w:ascii="Times New Roman" w:hAnsi="Times New Roman"/>
          <w:sz w:val="20"/>
        </w:rPr>
      </w:pPr>
      <w:r>
        <w:rPr>
          <w:rFonts w:ascii="Times New Roman" w:hAnsi="Times New Roman"/>
          <w:sz w:val="20"/>
        </w:rPr>
        <w:t>E</w:t>
      </w:r>
      <w:r>
        <w:rPr>
          <w:rFonts w:ascii="Times New Roman" w:hAnsi="Times New Roman"/>
          <w:color w:val="000000"/>
          <w:sz w:val="20"/>
          <w:shd w:val="clear" w:color="auto" w:fill="FFFFFF"/>
        </w:rPr>
        <w:t>fter § 21 indsættes før overskriften før § 22:</w:t>
      </w:r>
    </w:p>
    <w:p w14:paraId="6480AC61" w14:textId="77777777" w:rsidR="005C4786" w:rsidRDefault="005C4786" w:rsidP="005C4786">
      <w:pPr>
        <w:pStyle w:val="Listeafsnit"/>
        <w:tabs>
          <w:tab w:val="left" w:pos="284"/>
        </w:tabs>
        <w:ind w:firstLine="131"/>
        <w:rPr>
          <w:rFonts w:ascii="Times New Roman" w:hAnsi="Times New Roman"/>
          <w:color w:val="000000"/>
          <w:sz w:val="20"/>
          <w:shd w:val="clear" w:color="auto" w:fill="FFFFFF"/>
        </w:rPr>
      </w:pPr>
      <w:r>
        <w:rPr>
          <w:rFonts w:ascii="Times New Roman" w:hAnsi="Times New Roman"/>
          <w:sz w:val="20"/>
          <w:shd w:val="clear" w:color="auto" w:fill="FFFFFF"/>
        </w:rPr>
        <w:t>»</w:t>
      </w:r>
      <w:r>
        <w:rPr>
          <w:rFonts w:ascii="Times New Roman" w:hAnsi="Times New Roman"/>
          <w:b/>
          <w:sz w:val="20"/>
          <w:shd w:val="clear" w:color="auto" w:fill="FFFFFF"/>
        </w:rPr>
        <w:t>§ 21 a.</w:t>
      </w:r>
      <w:r>
        <w:rPr>
          <w:rFonts w:ascii="Times New Roman" w:hAnsi="Times New Roman"/>
          <w:color w:val="000000"/>
          <w:sz w:val="20"/>
          <w:shd w:val="clear" w:color="auto" w:fill="FFFFFF"/>
        </w:rPr>
        <w:t> Fonden skal indhente oplysninger om fondens reelle ejere, herunder oplysninger om de reelle ejeres rettigheder.</w:t>
      </w:r>
    </w:p>
    <w:p w14:paraId="3761E140" w14:textId="77777777" w:rsidR="005C4786" w:rsidRDefault="005C4786" w:rsidP="005C4786">
      <w:pPr>
        <w:pStyle w:val="Listeafsnit"/>
        <w:tabs>
          <w:tab w:val="left" w:pos="284"/>
        </w:tabs>
        <w:ind w:firstLine="131"/>
        <w:rPr>
          <w:rFonts w:ascii="Times New Roman" w:hAnsi="Times New Roman"/>
          <w:color w:val="000000"/>
          <w:sz w:val="20"/>
          <w:shd w:val="clear" w:color="auto" w:fill="FFFFFF"/>
        </w:rPr>
      </w:pPr>
      <w:r>
        <w:rPr>
          <w:rFonts w:ascii="Times New Roman" w:hAnsi="Times New Roman"/>
          <w:i/>
          <w:sz w:val="20"/>
          <w:shd w:val="clear" w:color="auto" w:fill="FFFFFF"/>
        </w:rPr>
        <w:t>Stk. 2.</w:t>
      </w:r>
      <w:r>
        <w:rPr>
          <w:rFonts w:ascii="Times New Roman" w:hAnsi="Times New Roman"/>
          <w:color w:val="000000"/>
          <w:sz w:val="20"/>
          <w:shd w:val="clear" w:color="auto" w:fill="FFFFFF"/>
        </w:rPr>
        <w:t> Fondens reelle ejere skal efter fondens anmodning forsyne fonden med oplysninger om fondens reelle ejere, herunder oplysninger om de reelle ejeres rettigheder, som fonden er forpligtet til at indhente.</w:t>
      </w:r>
    </w:p>
    <w:p w14:paraId="410B3030" w14:textId="77777777" w:rsidR="005C4786" w:rsidRDefault="005C4786" w:rsidP="005C4786">
      <w:pPr>
        <w:pStyle w:val="Listeafsnit"/>
        <w:tabs>
          <w:tab w:val="left" w:pos="284"/>
        </w:tabs>
        <w:ind w:firstLine="131"/>
        <w:rPr>
          <w:rFonts w:ascii="Times New Roman" w:hAnsi="Times New Roman"/>
          <w:color w:val="000000"/>
          <w:sz w:val="20"/>
          <w:shd w:val="clear" w:color="auto" w:fill="FFFFFF"/>
        </w:rPr>
      </w:pPr>
      <w:r>
        <w:rPr>
          <w:rFonts w:ascii="Times New Roman" w:hAnsi="Times New Roman"/>
          <w:i/>
          <w:sz w:val="20"/>
          <w:shd w:val="clear" w:color="auto" w:fill="FFFFFF"/>
        </w:rPr>
        <w:t>Stk. 3.</w:t>
      </w:r>
      <w:r>
        <w:rPr>
          <w:rFonts w:ascii="Times New Roman" w:hAnsi="Times New Roman"/>
          <w:color w:val="000000"/>
          <w:sz w:val="20"/>
          <w:shd w:val="clear" w:color="auto" w:fill="FFFFFF"/>
        </w:rPr>
        <w:t> Fonden skal registrere oplysningerne om fondens reelle ejere, herunder oplysninger om de reelle ejeres rettigheder, i Erhvervsstyrelsens it-system, hurtigst muligt efter at fonden er blevet bekendt med, at en person er blevet reel ejer. Enhver ændring af de oplysninger, som er registreret om de reelle ejere, skal registreres, hurtigst muligt efter at fonden er blevet bekendt med ændringen.</w:t>
      </w:r>
    </w:p>
    <w:p w14:paraId="65447667" w14:textId="77777777" w:rsidR="005C4786" w:rsidRDefault="005C4786" w:rsidP="005C4786">
      <w:pPr>
        <w:pStyle w:val="Listeafsnit"/>
        <w:tabs>
          <w:tab w:val="left" w:pos="284"/>
        </w:tabs>
        <w:ind w:firstLine="131"/>
        <w:rPr>
          <w:rFonts w:ascii="Times New Roman" w:hAnsi="Times New Roman"/>
          <w:color w:val="000000"/>
          <w:sz w:val="20"/>
          <w:shd w:val="clear" w:color="auto" w:fill="FFFFFF"/>
        </w:rPr>
      </w:pPr>
      <w:r>
        <w:rPr>
          <w:rFonts w:ascii="Times New Roman" w:hAnsi="Times New Roman"/>
          <w:i/>
          <w:sz w:val="20"/>
          <w:shd w:val="clear" w:color="auto" w:fill="FFFFFF"/>
        </w:rPr>
        <w:t>Stk. 4.</w:t>
      </w:r>
      <w:r>
        <w:rPr>
          <w:rFonts w:ascii="Times New Roman" w:hAnsi="Times New Roman"/>
          <w:color w:val="000000"/>
          <w:sz w:val="20"/>
          <w:shd w:val="clear" w:color="auto" w:fill="FFFFFF"/>
        </w:rPr>
        <w:t> Fonden skal mindst en gang årligt undersøge, om der er ændringer af de registrerede oplysninger om de reelle ejere. Resultatet af den årlige undersøgelse fremlægges på fondens årsregnskabsmøde.</w:t>
      </w:r>
    </w:p>
    <w:p w14:paraId="0E7F4CE0" w14:textId="77777777" w:rsidR="005C4786" w:rsidRDefault="005C4786" w:rsidP="005C4786">
      <w:pPr>
        <w:pStyle w:val="Listeafsnit"/>
        <w:tabs>
          <w:tab w:val="left" w:pos="284"/>
        </w:tabs>
        <w:ind w:firstLine="131"/>
        <w:rPr>
          <w:rFonts w:ascii="Times New Roman" w:hAnsi="Times New Roman"/>
          <w:color w:val="000000"/>
          <w:sz w:val="20"/>
          <w:shd w:val="clear" w:color="auto" w:fill="FFFFFF"/>
        </w:rPr>
      </w:pPr>
      <w:r>
        <w:rPr>
          <w:rFonts w:ascii="Times New Roman" w:hAnsi="Times New Roman"/>
          <w:i/>
          <w:sz w:val="20"/>
          <w:shd w:val="clear" w:color="auto" w:fill="FFFFFF"/>
        </w:rPr>
        <w:t>Stk. 5.</w:t>
      </w:r>
      <w:r>
        <w:rPr>
          <w:rFonts w:ascii="Times New Roman" w:hAnsi="Times New Roman"/>
          <w:color w:val="000000"/>
          <w:sz w:val="20"/>
          <w:shd w:val="clear" w:color="auto" w:fill="FFFFFF"/>
        </w:rPr>
        <w:t xml:space="preserve"> Fonden skal opbevare dokumentation for de indhentede oplysninger om fondens reelle ejere i 5 år efter det reelle ejerskabs ophør. Fonden skal </w:t>
      </w:r>
      <w:proofErr w:type="gramStart"/>
      <w:r>
        <w:rPr>
          <w:rFonts w:ascii="Times New Roman" w:hAnsi="Times New Roman"/>
          <w:color w:val="000000"/>
          <w:sz w:val="20"/>
          <w:shd w:val="clear" w:color="auto" w:fill="FFFFFF"/>
        </w:rPr>
        <w:t>endvidere</w:t>
      </w:r>
      <w:proofErr w:type="gramEnd"/>
      <w:r>
        <w:rPr>
          <w:rFonts w:ascii="Times New Roman" w:hAnsi="Times New Roman"/>
          <w:color w:val="000000"/>
          <w:sz w:val="20"/>
          <w:shd w:val="clear" w:color="auto" w:fill="FFFFFF"/>
        </w:rPr>
        <w:t xml:space="preserve"> opbevare dokumentation for de indhentede oplysninger om forsøg på identifikation af reelle ejere i 5 år efter gennemførelsen af identifikationsforsøget.</w:t>
      </w:r>
    </w:p>
    <w:p w14:paraId="44B4DFBA" w14:textId="77777777" w:rsidR="005C4786" w:rsidRDefault="005C4786" w:rsidP="005C4786">
      <w:pPr>
        <w:pStyle w:val="Listeafsnit"/>
        <w:tabs>
          <w:tab w:val="left" w:pos="284"/>
        </w:tabs>
        <w:ind w:firstLine="131"/>
        <w:rPr>
          <w:rFonts w:ascii="Times New Roman" w:hAnsi="Times New Roman"/>
          <w:color w:val="000000"/>
          <w:sz w:val="20"/>
          <w:shd w:val="clear" w:color="auto" w:fill="FFFFFF"/>
        </w:rPr>
      </w:pPr>
      <w:r>
        <w:rPr>
          <w:rFonts w:ascii="Times New Roman" w:hAnsi="Times New Roman"/>
          <w:i/>
          <w:sz w:val="20"/>
          <w:shd w:val="clear" w:color="auto" w:fill="FFFFFF"/>
        </w:rPr>
        <w:t>Stk. 6.</w:t>
      </w:r>
      <w:r>
        <w:rPr>
          <w:rFonts w:ascii="Times New Roman" w:hAnsi="Times New Roman"/>
          <w:color w:val="000000"/>
          <w:sz w:val="20"/>
          <w:shd w:val="clear" w:color="auto" w:fill="FFFFFF"/>
        </w:rPr>
        <w:t xml:space="preserve"> Fonden skal efter anmodning udlevere oplysninger om fondens reelle ejere, herunder om fondens forsøg på at identificere fondens reelle ejere, til Statsadvokaten for Særlig Økonomisk og International Kriminalitet. Fonden skal </w:t>
      </w:r>
      <w:proofErr w:type="gramStart"/>
      <w:r>
        <w:rPr>
          <w:rFonts w:ascii="Times New Roman" w:hAnsi="Times New Roman"/>
          <w:color w:val="000000"/>
          <w:sz w:val="20"/>
          <w:shd w:val="clear" w:color="auto" w:fill="FFFFFF"/>
        </w:rPr>
        <w:t>endvidere</w:t>
      </w:r>
      <w:proofErr w:type="gramEnd"/>
      <w:r>
        <w:rPr>
          <w:rFonts w:ascii="Times New Roman" w:hAnsi="Times New Roman"/>
          <w:color w:val="000000"/>
          <w:sz w:val="20"/>
          <w:shd w:val="clear" w:color="auto" w:fill="FFFFFF"/>
        </w:rPr>
        <w:t xml:space="preserve"> efter anmodning udlevere de nævnte oplysninger til andre kompetente myndigheder, når disse myndigheder vurderer, at oplysningerne er nødvendige for deres varetagelse af tilsyns- eller kontrolopgaver.</w:t>
      </w:r>
    </w:p>
    <w:p w14:paraId="69F7BECE" w14:textId="77777777" w:rsidR="005C4786" w:rsidRDefault="005C4786" w:rsidP="005C4786">
      <w:pPr>
        <w:pStyle w:val="Listeafsnit"/>
        <w:tabs>
          <w:tab w:val="left" w:pos="284"/>
        </w:tabs>
        <w:ind w:firstLine="131"/>
        <w:rPr>
          <w:rFonts w:ascii="Times New Roman" w:hAnsi="Times New Roman"/>
          <w:color w:val="000000"/>
          <w:sz w:val="20"/>
          <w:shd w:val="clear" w:color="auto" w:fill="FFFFFF"/>
        </w:rPr>
      </w:pPr>
      <w:r>
        <w:rPr>
          <w:rFonts w:ascii="Times New Roman" w:hAnsi="Times New Roman"/>
          <w:i/>
          <w:sz w:val="20"/>
          <w:shd w:val="clear" w:color="auto" w:fill="FFFFFF"/>
        </w:rPr>
        <w:t>Stk. 7.</w:t>
      </w:r>
      <w:r>
        <w:rPr>
          <w:rFonts w:ascii="Times New Roman" w:hAnsi="Times New Roman"/>
          <w:color w:val="000000"/>
          <w:sz w:val="20"/>
          <w:shd w:val="clear" w:color="auto" w:fill="FFFFFF"/>
        </w:rPr>
        <w:t> Statsadvokaten for Særlig Økonomisk og International Kriminalitet og andre kompetente myndigheder kan vederlagsfrit videregive oplysninger om reelle ejere, der er registreret, jf. stk. 3, eller er indhentet, jf. stk. 6, til andre EU-medlemsstaters kompetente myndigheder og finansielle efterretningstjenester.</w:t>
      </w:r>
    </w:p>
    <w:p w14:paraId="605FD5AD" w14:textId="77777777" w:rsidR="005C4786" w:rsidRDefault="005C4786" w:rsidP="005C4786">
      <w:pPr>
        <w:pStyle w:val="Listeafsnit"/>
        <w:tabs>
          <w:tab w:val="left" w:pos="284"/>
        </w:tabs>
        <w:ind w:firstLine="131"/>
        <w:rPr>
          <w:rFonts w:ascii="Times New Roman" w:hAnsi="Times New Roman"/>
          <w:color w:val="000000"/>
          <w:sz w:val="20"/>
          <w:shd w:val="clear" w:color="auto" w:fill="FFFFFF"/>
        </w:rPr>
      </w:pPr>
      <w:r>
        <w:rPr>
          <w:rFonts w:ascii="Times New Roman" w:hAnsi="Times New Roman"/>
          <w:i/>
          <w:sz w:val="20"/>
          <w:shd w:val="clear" w:color="auto" w:fill="FFFFFF"/>
        </w:rPr>
        <w:t>Stk. 8.</w:t>
      </w:r>
      <w:r>
        <w:rPr>
          <w:rFonts w:ascii="Times New Roman" w:hAnsi="Times New Roman"/>
          <w:color w:val="000000"/>
          <w:sz w:val="20"/>
          <w:shd w:val="clear" w:color="auto" w:fill="FFFFFF"/>
        </w:rPr>
        <w:t> Erhvervsstyrelsen fastsætter nærmere regler om oplysningernes registrering, tilgængelighed og offentliggørelse efter stk. 1, 3 og 5 i Erhvervsstyrelsens it-system, herunder hvilke oplysninger fonden skal registrere i styrelsens it-system.</w:t>
      </w:r>
    </w:p>
    <w:p w14:paraId="57953CD1" w14:textId="77777777" w:rsidR="005C4786" w:rsidRDefault="005C4786" w:rsidP="005C4786">
      <w:pPr>
        <w:tabs>
          <w:tab w:val="left" w:pos="284"/>
        </w:tabs>
        <w:rPr>
          <w:rFonts w:ascii="Times New Roman" w:hAnsi="Times New Roman"/>
          <w:color w:val="000000"/>
          <w:sz w:val="20"/>
          <w:shd w:val="clear" w:color="auto" w:fill="FFFFFF"/>
        </w:rPr>
      </w:pPr>
    </w:p>
    <w:p w14:paraId="134AF824" w14:textId="77777777" w:rsidR="005C4786" w:rsidRDefault="005C4786" w:rsidP="005C4786">
      <w:pPr>
        <w:pStyle w:val="Listeafsnit"/>
        <w:tabs>
          <w:tab w:val="left" w:pos="284"/>
        </w:tabs>
        <w:ind w:firstLine="131"/>
        <w:rPr>
          <w:rFonts w:ascii="Times New Roman" w:hAnsi="Times New Roman"/>
          <w:color w:val="000000"/>
          <w:sz w:val="20"/>
          <w:shd w:val="clear" w:color="auto" w:fill="FFFFFF"/>
        </w:rPr>
      </w:pPr>
      <w:r>
        <w:rPr>
          <w:rFonts w:ascii="Times New Roman" w:hAnsi="Times New Roman"/>
          <w:b/>
          <w:sz w:val="20"/>
          <w:shd w:val="clear" w:color="auto" w:fill="FFFFFF"/>
        </w:rPr>
        <w:t>§ 21 b.</w:t>
      </w:r>
      <w:r>
        <w:rPr>
          <w:rFonts w:ascii="Times New Roman" w:hAnsi="Times New Roman"/>
          <w:color w:val="000000"/>
          <w:sz w:val="20"/>
          <w:shd w:val="clear" w:color="auto" w:fill="FFFFFF"/>
        </w:rPr>
        <w:t> Som reel ejer af en fond anses den eller de fysiske personer, der i sidste ende direkte eller indirekte kontrollerer fonden eller på anden måde har ejerskabslignende beføjelser, herunder</w:t>
      </w:r>
    </w:p>
    <w:p w14:paraId="3E1E4B3B" w14:textId="77777777" w:rsidR="005C4786" w:rsidRDefault="005C4786" w:rsidP="005C4786">
      <w:pPr>
        <w:pStyle w:val="Listeafsnit"/>
        <w:tabs>
          <w:tab w:val="left" w:pos="284"/>
        </w:tabs>
        <w:rPr>
          <w:rFonts w:ascii="Times New Roman" w:hAnsi="Times New Roman"/>
          <w:color w:val="000000"/>
          <w:sz w:val="20"/>
          <w:shd w:val="clear" w:color="auto" w:fill="FFFFFF"/>
        </w:rPr>
      </w:pPr>
      <w:r>
        <w:rPr>
          <w:rFonts w:ascii="Times New Roman" w:hAnsi="Times New Roman"/>
          <w:sz w:val="20"/>
          <w:shd w:val="clear" w:color="auto" w:fill="FFFFFF"/>
        </w:rPr>
        <w:t>1)</w:t>
      </w:r>
      <w:r>
        <w:rPr>
          <w:rFonts w:ascii="Times New Roman" w:hAnsi="Times New Roman"/>
          <w:color w:val="000000"/>
          <w:sz w:val="20"/>
          <w:shd w:val="clear" w:color="auto" w:fill="FFFFFF"/>
        </w:rPr>
        <w:t> fondens bestyrelse og</w:t>
      </w:r>
    </w:p>
    <w:p w14:paraId="2B38DB38" w14:textId="77777777" w:rsidR="005C4786" w:rsidRDefault="005C4786" w:rsidP="005C4786">
      <w:pPr>
        <w:pStyle w:val="Listeafsnit"/>
        <w:tabs>
          <w:tab w:val="left" w:pos="284"/>
        </w:tabs>
        <w:rPr>
          <w:rFonts w:ascii="Times New Roman" w:hAnsi="Times New Roman"/>
          <w:color w:val="000000"/>
          <w:sz w:val="20"/>
          <w:shd w:val="clear" w:color="auto" w:fill="FFFFFF"/>
        </w:rPr>
      </w:pPr>
      <w:r>
        <w:rPr>
          <w:rFonts w:ascii="Times New Roman" w:hAnsi="Times New Roman"/>
          <w:sz w:val="20"/>
          <w:shd w:val="clear" w:color="auto" w:fill="FFFFFF"/>
        </w:rPr>
        <w:t>2)</w:t>
      </w:r>
      <w:r>
        <w:rPr>
          <w:rFonts w:ascii="Times New Roman" w:hAnsi="Times New Roman"/>
          <w:color w:val="000000"/>
          <w:sz w:val="20"/>
          <w:shd w:val="clear" w:color="auto" w:fill="FFFFFF"/>
        </w:rPr>
        <w:t xml:space="preserve"> særligt begunstigede personer eller, </w:t>
      </w:r>
      <w:proofErr w:type="gramStart"/>
      <w:r>
        <w:rPr>
          <w:rFonts w:ascii="Times New Roman" w:hAnsi="Times New Roman"/>
          <w:color w:val="000000"/>
          <w:sz w:val="20"/>
          <w:shd w:val="clear" w:color="auto" w:fill="FFFFFF"/>
        </w:rPr>
        <w:t>såfremt</w:t>
      </w:r>
      <w:proofErr w:type="gramEnd"/>
      <w:r>
        <w:rPr>
          <w:rFonts w:ascii="Times New Roman" w:hAnsi="Times New Roman"/>
          <w:color w:val="000000"/>
          <w:sz w:val="20"/>
          <w:shd w:val="clear" w:color="auto" w:fill="FFFFFF"/>
        </w:rPr>
        <w:t xml:space="preserve"> de enkeltpersoner, der nyder godt af fondens uddelinger, endnu ikke kendes af fonden, den gruppe personer, i hvis hovedinteresse fonden er oprettet eller fungerer.</w:t>
      </w:r>
    </w:p>
    <w:p w14:paraId="3F3EC371" w14:textId="77777777" w:rsidR="005C4786" w:rsidRDefault="005C4786" w:rsidP="005C4786">
      <w:pPr>
        <w:pStyle w:val="Listeafsnit"/>
        <w:tabs>
          <w:tab w:val="left" w:pos="284"/>
        </w:tabs>
        <w:rPr>
          <w:rFonts w:ascii="Times New Roman" w:hAnsi="Times New Roman"/>
          <w:color w:val="000000"/>
          <w:sz w:val="20"/>
          <w:shd w:val="clear" w:color="auto" w:fill="FFFFFF"/>
        </w:rPr>
      </w:pPr>
    </w:p>
    <w:p w14:paraId="65DCA68E" w14:textId="77777777" w:rsidR="005C4786" w:rsidRDefault="005C4786" w:rsidP="005C4786">
      <w:pPr>
        <w:pStyle w:val="Listeafsnit"/>
        <w:tabs>
          <w:tab w:val="left" w:pos="284"/>
        </w:tabs>
        <w:ind w:firstLine="131"/>
        <w:rPr>
          <w:rFonts w:ascii="Times New Roman" w:hAnsi="Times New Roman"/>
          <w:color w:val="000000"/>
          <w:sz w:val="20"/>
          <w:shd w:val="clear" w:color="auto" w:fill="FFFFFF"/>
        </w:rPr>
      </w:pPr>
      <w:r>
        <w:rPr>
          <w:rFonts w:ascii="Times New Roman" w:hAnsi="Times New Roman"/>
          <w:b/>
          <w:color w:val="000000"/>
          <w:sz w:val="20"/>
          <w:shd w:val="clear" w:color="auto" w:fill="FFFFFF"/>
        </w:rPr>
        <w:t>§ 21 c.</w:t>
      </w:r>
      <w:r>
        <w:rPr>
          <w:rFonts w:ascii="Times New Roman" w:hAnsi="Times New Roman"/>
          <w:color w:val="000000"/>
          <w:sz w:val="20"/>
          <w:shd w:val="clear" w:color="auto" w:fill="FFFFFF"/>
        </w:rPr>
        <w:t xml:space="preserve"> Ved etablering af en erhvervsdrivende fond skal der senest samtidig med registreringen af fonden, jf. § 12, indhentes og registreres oplysninger om fondens reelle ejere, herunder oplysninger om de reelle ejeres rettigheder, jf. § 21 a, stk. 1.</w:t>
      </w:r>
    </w:p>
    <w:p w14:paraId="5CEE93FD" w14:textId="77777777" w:rsidR="005C4786" w:rsidRDefault="005C4786" w:rsidP="005C4786">
      <w:pPr>
        <w:pStyle w:val="Listeafsnit"/>
        <w:tabs>
          <w:tab w:val="left" w:pos="284"/>
        </w:tabs>
        <w:rPr>
          <w:rFonts w:ascii="Times New Roman" w:hAnsi="Times New Roman"/>
          <w:color w:val="000000"/>
          <w:sz w:val="20"/>
          <w:shd w:val="clear" w:color="auto" w:fill="FFFFFF"/>
        </w:rPr>
      </w:pPr>
    </w:p>
    <w:p w14:paraId="47B03B29" w14:textId="77777777" w:rsidR="005C4786" w:rsidRDefault="005C4786" w:rsidP="005C4786">
      <w:pPr>
        <w:pStyle w:val="Listeafsnit"/>
        <w:tabs>
          <w:tab w:val="left" w:pos="284"/>
        </w:tabs>
        <w:ind w:firstLine="131"/>
        <w:rPr>
          <w:rFonts w:ascii="Times New Roman" w:hAnsi="Times New Roman"/>
          <w:color w:val="000000"/>
          <w:sz w:val="20"/>
          <w:shd w:val="clear" w:color="auto" w:fill="FFFFFF"/>
        </w:rPr>
      </w:pPr>
      <w:r>
        <w:rPr>
          <w:rFonts w:ascii="Times New Roman" w:hAnsi="Times New Roman"/>
          <w:b/>
          <w:sz w:val="20"/>
          <w:shd w:val="clear" w:color="auto" w:fill="FFFFFF"/>
        </w:rPr>
        <w:t>§ 21 d.</w:t>
      </w:r>
      <w:r>
        <w:rPr>
          <w:rFonts w:ascii="Times New Roman" w:hAnsi="Times New Roman"/>
          <w:color w:val="000000"/>
          <w:sz w:val="20"/>
          <w:shd w:val="clear" w:color="auto" w:fill="FFFFFF"/>
        </w:rPr>
        <w:t> Fonde, der skal indhente, opbevare og registrere oplysninger om reelle ejere, jf. § 21 a, skal efter anmodning forsyne personer og virksomheder, der i medfør af hvidvaskloven</w:t>
      </w:r>
      <w:r w:rsidR="00375333">
        <w:rPr>
          <w:rFonts w:ascii="Times New Roman" w:hAnsi="Times New Roman"/>
          <w:color w:val="000000"/>
          <w:sz w:val="20"/>
          <w:shd w:val="clear" w:color="auto" w:fill="FFFFFF"/>
        </w:rPr>
        <w:t xml:space="preserve">, som sat i kraft for Grønland ved kongelig anordning, </w:t>
      </w:r>
      <w:r>
        <w:rPr>
          <w:rFonts w:ascii="Times New Roman" w:hAnsi="Times New Roman"/>
          <w:color w:val="000000"/>
          <w:sz w:val="20"/>
          <w:shd w:val="clear" w:color="auto" w:fill="FFFFFF"/>
        </w:rPr>
        <w:t>skal udføre kundekendskabsprocedurer, med oplysninger om deres reelle ejere.</w:t>
      </w:r>
    </w:p>
    <w:p w14:paraId="4EDA5D19" w14:textId="77777777" w:rsidR="005C4786" w:rsidRDefault="005C4786" w:rsidP="005C4786">
      <w:pPr>
        <w:pStyle w:val="Listeafsnit"/>
        <w:tabs>
          <w:tab w:val="left" w:pos="284"/>
        </w:tabs>
        <w:ind w:firstLine="131"/>
        <w:rPr>
          <w:rFonts w:ascii="Times New Roman" w:hAnsi="Times New Roman"/>
          <w:color w:val="000000"/>
          <w:sz w:val="20"/>
          <w:shd w:val="clear" w:color="auto" w:fill="FFFFFF"/>
        </w:rPr>
      </w:pPr>
      <w:r>
        <w:rPr>
          <w:rFonts w:ascii="Times New Roman" w:hAnsi="Times New Roman"/>
          <w:i/>
          <w:color w:val="000000"/>
          <w:sz w:val="20"/>
          <w:shd w:val="clear" w:color="auto" w:fill="FFFFFF"/>
        </w:rPr>
        <w:t>Stk. 2.</w:t>
      </w:r>
      <w:r>
        <w:rPr>
          <w:rFonts w:ascii="Times New Roman" w:hAnsi="Times New Roman"/>
          <w:color w:val="000000"/>
          <w:sz w:val="20"/>
          <w:shd w:val="clear" w:color="auto" w:fill="FFFFFF"/>
        </w:rPr>
        <w:t> Modtager Erhvervsstyrelsen indberetninger i medfør af hvidvaskloven</w:t>
      </w:r>
      <w:r w:rsidR="00375333">
        <w:rPr>
          <w:rFonts w:ascii="Times New Roman" w:hAnsi="Times New Roman"/>
          <w:color w:val="000000"/>
          <w:sz w:val="20"/>
          <w:shd w:val="clear" w:color="auto" w:fill="FFFFFF"/>
        </w:rPr>
        <w:t xml:space="preserve">, som sat i kraft for Grønland ved kongelig anordning, </w:t>
      </w:r>
      <w:r>
        <w:rPr>
          <w:rFonts w:ascii="Times New Roman" w:hAnsi="Times New Roman"/>
          <w:color w:val="000000"/>
          <w:sz w:val="20"/>
          <w:shd w:val="clear" w:color="auto" w:fill="FFFFFF"/>
        </w:rPr>
        <w:t>om uoverensstemmelser i forhold til de registrerede oplysninger om fondens reelle ejere, foretager Erhvervsstyrelsen en undersøgelse af forholdet, jf. § 17, stk. 1, og § 21 a, stk. 5. Erhvervsstyrelsen kan over for fonden fastsætte en frist for forholdets berigtigelse.</w:t>
      </w:r>
    </w:p>
    <w:p w14:paraId="2A3273AE" w14:textId="77777777" w:rsidR="005C4786" w:rsidRDefault="005C4786" w:rsidP="005C4786">
      <w:pPr>
        <w:pStyle w:val="Listeafsnit"/>
        <w:tabs>
          <w:tab w:val="left" w:pos="284"/>
        </w:tabs>
        <w:ind w:firstLine="131"/>
        <w:rPr>
          <w:rFonts w:ascii="Times New Roman" w:hAnsi="Times New Roman"/>
          <w:color w:val="000000"/>
          <w:sz w:val="20"/>
          <w:shd w:val="clear" w:color="auto" w:fill="FFFFFF"/>
        </w:rPr>
      </w:pPr>
      <w:r>
        <w:rPr>
          <w:rFonts w:ascii="Times New Roman" w:hAnsi="Times New Roman"/>
          <w:i/>
          <w:color w:val="000000"/>
          <w:sz w:val="20"/>
          <w:shd w:val="clear" w:color="auto" w:fill="FFFFFF"/>
        </w:rPr>
        <w:t>Stk. 3.</w:t>
      </w:r>
      <w:r>
        <w:rPr>
          <w:rFonts w:ascii="Times New Roman" w:hAnsi="Times New Roman"/>
          <w:color w:val="000000"/>
          <w:sz w:val="20"/>
          <w:shd w:val="clear" w:color="auto" w:fill="FFFFFF"/>
        </w:rPr>
        <w:t> Erhvervsstyrelsen kan sideløbende med undersøgelsen, jf. stk. 2, offentliggøre en meddelelse om indberetningen i Erhvervsstyrelsens it-system. Fonden skal have mulighed for at gøre indsigelse mod indberetningen, forinden denne offentliggøres, medmindre formålet med offentliggørelsen af meddelelsen om indberetning derved forspildes.«</w:t>
      </w:r>
    </w:p>
    <w:p w14:paraId="6C8CADC1" w14:textId="77777777" w:rsidR="005C4786" w:rsidRDefault="005C4786" w:rsidP="005C4786">
      <w:pPr>
        <w:pStyle w:val="Listeafsnit"/>
        <w:tabs>
          <w:tab w:val="left" w:pos="284"/>
        </w:tabs>
        <w:rPr>
          <w:rFonts w:ascii="Times New Roman" w:hAnsi="Times New Roman"/>
          <w:color w:val="000000"/>
          <w:sz w:val="20"/>
          <w:shd w:val="clear" w:color="auto" w:fill="FFFFFF"/>
        </w:rPr>
      </w:pPr>
    </w:p>
    <w:p w14:paraId="6BF2B341" w14:textId="77777777" w:rsidR="005C4786" w:rsidRDefault="005C4786" w:rsidP="005C4786">
      <w:pPr>
        <w:pStyle w:val="Listeafsnit"/>
        <w:numPr>
          <w:ilvl w:val="0"/>
          <w:numId w:val="1"/>
        </w:numPr>
        <w:tabs>
          <w:tab w:val="left" w:pos="284"/>
        </w:tabs>
        <w:rPr>
          <w:rFonts w:ascii="Times New Roman" w:hAnsi="Times New Roman"/>
          <w:color w:val="000000"/>
          <w:sz w:val="20"/>
          <w:shd w:val="clear" w:color="auto" w:fill="FFFFFF"/>
        </w:rPr>
      </w:pPr>
      <w:r>
        <w:rPr>
          <w:rFonts w:ascii="Times New Roman" w:hAnsi="Times New Roman"/>
          <w:color w:val="000000"/>
          <w:sz w:val="20"/>
          <w:shd w:val="clear" w:color="auto" w:fill="FFFFFF"/>
        </w:rPr>
        <w:t xml:space="preserve">I </w:t>
      </w:r>
      <w:r>
        <w:rPr>
          <w:rFonts w:ascii="Times New Roman" w:hAnsi="Times New Roman"/>
          <w:i/>
          <w:color w:val="000000"/>
          <w:sz w:val="20"/>
          <w:shd w:val="clear" w:color="auto" w:fill="FFFFFF"/>
        </w:rPr>
        <w:t>§ 41, stk. 1,</w:t>
      </w:r>
      <w:r>
        <w:rPr>
          <w:rFonts w:ascii="Times New Roman" w:hAnsi="Times New Roman"/>
          <w:color w:val="000000"/>
          <w:sz w:val="20"/>
          <w:shd w:val="clear" w:color="auto" w:fill="FFFFFF"/>
        </w:rPr>
        <w:t xml:space="preserve"> ændres »i et EU/EØS-land« til: »i et land inden for Den Europæiske Union eller i et land, som Unionen har indgået aftale med på det finansielle område«.</w:t>
      </w:r>
    </w:p>
    <w:p w14:paraId="58D3C56A" w14:textId="77777777" w:rsidR="005C4786" w:rsidRDefault="005C4786" w:rsidP="005C4786">
      <w:pPr>
        <w:pStyle w:val="Listeafsnit"/>
        <w:tabs>
          <w:tab w:val="left" w:pos="284"/>
        </w:tabs>
        <w:rPr>
          <w:rFonts w:ascii="Times New Roman" w:hAnsi="Times New Roman"/>
          <w:color w:val="000000"/>
          <w:sz w:val="20"/>
          <w:shd w:val="clear" w:color="auto" w:fill="FFFFFF"/>
        </w:rPr>
      </w:pPr>
    </w:p>
    <w:p w14:paraId="4F4956A3" w14:textId="77777777" w:rsidR="005C4786" w:rsidRDefault="005C4786" w:rsidP="005C4786">
      <w:pPr>
        <w:pStyle w:val="Listeafsnit"/>
        <w:numPr>
          <w:ilvl w:val="0"/>
          <w:numId w:val="1"/>
        </w:numPr>
        <w:tabs>
          <w:tab w:val="left" w:pos="284"/>
        </w:tabs>
        <w:rPr>
          <w:rFonts w:ascii="Times New Roman" w:hAnsi="Times New Roman"/>
          <w:color w:val="000000"/>
          <w:sz w:val="20"/>
          <w:shd w:val="clear" w:color="auto" w:fill="FFFFFF"/>
        </w:rPr>
      </w:pPr>
      <w:r>
        <w:rPr>
          <w:rFonts w:ascii="Times New Roman" w:hAnsi="Times New Roman"/>
          <w:i/>
          <w:color w:val="000000"/>
          <w:sz w:val="20"/>
          <w:shd w:val="clear" w:color="auto" w:fill="FFFFFF"/>
        </w:rPr>
        <w:t>§ 54, stk. 2,</w:t>
      </w:r>
      <w:r>
        <w:rPr>
          <w:rFonts w:ascii="Times New Roman" w:hAnsi="Times New Roman"/>
          <w:color w:val="000000"/>
          <w:sz w:val="20"/>
          <w:shd w:val="clear" w:color="auto" w:fill="FFFFFF"/>
        </w:rPr>
        <w:t xml:space="preserve"> affattes således:</w:t>
      </w:r>
    </w:p>
    <w:p w14:paraId="4B8D90F8" w14:textId="77777777" w:rsidR="005C4786" w:rsidRDefault="005C4786" w:rsidP="005C4786">
      <w:pPr>
        <w:pStyle w:val="Listeafsnit"/>
        <w:ind w:firstLine="131"/>
        <w:rPr>
          <w:rFonts w:ascii="Times New Roman" w:hAnsi="Times New Roman"/>
          <w:color w:val="000000"/>
          <w:sz w:val="20"/>
          <w:shd w:val="clear" w:color="auto" w:fill="FFFFFF"/>
        </w:rPr>
      </w:pPr>
      <w:r>
        <w:rPr>
          <w:rFonts w:ascii="Times New Roman" w:hAnsi="Times New Roman"/>
          <w:color w:val="000000"/>
          <w:sz w:val="20"/>
          <w:shd w:val="clear" w:color="auto" w:fill="FFFFFF"/>
        </w:rPr>
        <w:t>»</w:t>
      </w:r>
      <w:r>
        <w:rPr>
          <w:rFonts w:ascii="Times New Roman" w:hAnsi="Times New Roman"/>
          <w:i/>
          <w:color w:val="000000"/>
          <w:sz w:val="20"/>
          <w:shd w:val="clear" w:color="auto" w:fill="FFFFFF"/>
        </w:rPr>
        <w:t xml:space="preserve">Stk. 2. </w:t>
      </w:r>
      <w:r>
        <w:rPr>
          <w:rFonts w:ascii="Times New Roman" w:hAnsi="Times New Roman"/>
          <w:color w:val="000000"/>
          <w:sz w:val="20"/>
          <w:shd w:val="clear" w:color="auto" w:fill="FFFFFF"/>
        </w:rPr>
        <w:t>Fører revisor en revisionsprotokol, skal revisionsprotokollen forelægges på ethvert bestyrelsesmøde. Enhver protokoltilførsel skal underskrives af samtlige medlemmer af bestyrelsen.«</w:t>
      </w:r>
    </w:p>
    <w:p w14:paraId="10FF4733" w14:textId="77777777" w:rsidR="005C4786" w:rsidRDefault="005C4786" w:rsidP="005C4786">
      <w:pPr>
        <w:tabs>
          <w:tab w:val="left" w:pos="284"/>
        </w:tabs>
        <w:rPr>
          <w:rFonts w:ascii="Times New Roman" w:hAnsi="Times New Roman"/>
          <w:color w:val="000000"/>
          <w:sz w:val="20"/>
          <w:shd w:val="clear" w:color="auto" w:fill="FFFFFF"/>
        </w:rPr>
      </w:pPr>
    </w:p>
    <w:p w14:paraId="2C5B1F7C" w14:textId="77777777" w:rsidR="005C4786" w:rsidRDefault="005C4786" w:rsidP="005C4786">
      <w:pPr>
        <w:pStyle w:val="Listeafsnit"/>
        <w:numPr>
          <w:ilvl w:val="0"/>
          <w:numId w:val="1"/>
        </w:numPr>
        <w:rPr>
          <w:rFonts w:ascii="Times New Roman" w:hAnsi="Times New Roman"/>
          <w:color w:val="000000"/>
          <w:sz w:val="20"/>
          <w:shd w:val="clear" w:color="auto" w:fill="FFFFFF"/>
        </w:rPr>
      </w:pPr>
      <w:r>
        <w:rPr>
          <w:rFonts w:ascii="Times New Roman" w:hAnsi="Times New Roman"/>
          <w:color w:val="000000"/>
          <w:sz w:val="20"/>
          <w:shd w:val="clear" w:color="auto" w:fill="FFFFFF"/>
        </w:rPr>
        <w:t xml:space="preserve">Efter </w:t>
      </w:r>
      <w:r>
        <w:rPr>
          <w:rFonts w:ascii="Times New Roman" w:hAnsi="Times New Roman"/>
          <w:i/>
          <w:color w:val="000000"/>
          <w:sz w:val="20"/>
          <w:shd w:val="clear" w:color="auto" w:fill="FFFFFF"/>
        </w:rPr>
        <w:t>§ 69</w:t>
      </w:r>
      <w:r>
        <w:rPr>
          <w:rFonts w:ascii="Times New Roman" w:hAnsi="Times New Roman"/>
          <w:color w:val="000000"/>
          <w:sz w:val="20"/>
          <w:shd w:val="clear" w:color="auto" w:fill="FFFFFF"/>
        </w:rPr>
        <w:t xml:space="preserve"> indsættes:</w:t>
      </w:r>
    </w:p>
    <w:p w14:paraId="3ED3951D" w14:textId="77777777" w:rsidR="005C4786" w:rsidRDefault="005C4786" w:rsidP="005C4786">
      <w:pPr>
        <w:pStyle w:val="Listeafsnit"/>
        <w:rPr>
          <w:rFonts w:ascii="Times New Roman" w:hAnsi="Times New Roman"/>
          <w:color w:val="000000"/>
          <w:sz w:val="20"/>
          <w:shd w:val="clear" w:color="auto" w:fill="FFFFFF"/>
        </w:rPr>
      </w:pPr>
      <w:r>
        <w:rPr>
          <w:rFonts w:ascii="Times New Roman" w:hAnsi="Times New Roman"/>
          <w:color w:val="000000"/>
          <w:sz w:val="20"/>
          <w:shd w:val="clear" w:color="auto" w:fill="FFFFFF"/>
        </w:rPr>
        <w:t>»</w:t>
      </w:r>
      <w:r>
        <w:rPr>
          <w:rFonts w:ascii="Times New Roman" w:hAnsi="Times New Roman"/>
          <w:b/>
          <w:color w:val="000000"/>
          <w:sz w:val="20"/>
          <w:shd w:val="clear" w:color="auto" w:fill="FFFFFF"/>
        </w:rPr>
        <w:t>§ 69 a.</w:t>
      </w:r>
      <w:r>
        <w:rPr>
          <w:rFonts w:ascii="Times New Roman" w:hAnsi="Times New Roman"/>
          <w:color w:val="000000"/>
          <w:sz w:val="20"/>
          <w:shd w:val="clear" w:color="auto" w:fill="FFFFFF"/>
        </w:rPr>
        <w:t> Uanset artikel 17, stk. 1, i Europa-Parlamentets og Rådets forordning (EU) nr. 537/2014 af 16. april 2014 om specifikke krav til revision af virksomheder af interesse for offentligheden kan bestyrelsen på årsregnskabsmødet, jf. § 59, i en erhvervsdrivende fond omfattet af revisorlovens § 1 a, nr. 3, litra a, vælge samme revisor i maksimalt</w:t>
      </w:r>
    </w:p>
    <w:p w14:paraId="560C54CC" w14:textId="77777777" w:rsidR="005C4786" w:rsidRDefault="005C4786" w:rsidP="005C4786">
      <w:pPr>
        <w:pStyle w:val="Listeafsnit"/>
        <w:numPr>
          <w:ilvl w:val="0"/>
          <w:numId w:val="2"/>
        </w:numPr>
        <w:ind w:left="993" w:hanging="284"/>
        <w:rPr>
          <w:rFonts w:ascii="Times New Roman" w:hAnsi="Times New Roman"/>
          <w:color w:val="000000"/>
          <w:sz w:val="20"/>
          <w:shd w:val="clear" w:color="auto" w:fill="FFFFFF"/>
        </w:rPr>
      </w:pPr>
      <w:r>
        <w:rPr>
          <w:rFonts w:ascii="Times New Roman" w:hAnsi="Times New Roman"/>
          <w:color w:val="000000"/>
          <w:sz w:val="20"/>
          <w:shd w:val="clear" w:color="auto" w:fill="FFFFFF"/>
        </w:rPr>
        <w:t>20 år, hvis en udbudsprocedure er gennemført i overensstemmelse med artikel 16, stk. 2-5, i Europa-Parlamentets og Rådets forordning (EU) nr. 537/2014 af 16. april 2014 om specifikke krav til revision af virksomheder af interesse for offentligheden med virkning for revisionen efter udløbet af en varighed på 10 år, eller</w:t>
      </w:r>
    </w:p>
    <w:p w14:paraId="321DF917" w14:textId="77777777" w:rsidR="005C4786" w:rsidRDefault="005C4786" w:rsidP="005C4786">
      <w:pPr>
        <w:pStyle w:val="Listeafsnit"/>
        <w:numPr>
          <w:ilvl w:val="0"/>
          <w:numId w:val="2"/>
        </w:numPr>
        <w:ind w:left="993" w:hanging="284"/>
        <w:rPr>
          <w:rFonts w:ascii="Times New Roman" w:hAnsi="Times New Roman"/>
          <w:color w:val="000000"/>
          <w:sz w:val="20"/>
          <w:shd w:val="clear" w:color="auto" w:fill="FFFFFF"/>
        </w:rPr>
      </w:pPr>
      <w:r>
        <w:rPr>
          <w:rFonts w:ascii="Times New Roman" w:hAnsi="Times New Roman"/>
          <w:color w:val="000000"/>
          <w:sz w:val="20"/>
          <w:shd w:val="clear" w:color="auto" w:fill="FFFFFF"/>
        </w:rPr>
        <w:t>24 år, hvis bestyrelsen på årsregnskabsmødet efter udløbet af en varighed på 10 år udpeger yderligere mindst en revisor til at udføre revisionen.«</w:t>
      </w:r>
    </w:p>
    <w:p w14:paraId="42E9BF2C" w14:textId="77777777" w:rsidR="005C4786" w:rsidRDefault="005C4786" w:rsidP="005C4786">
      <w:pPr>
        <w:pStyle w:val="Listeafsnit"/>
        <w:rPr>
          <w:rFonts w:ascii="Times New Roman" w:hAnsi="Times New Roman"/>
          <w:color w:val="000000"/>
          <w:sz w:val="20"/>
          <w:shd w:val="clear" w:color="auto" w:fill="FFFFFF"/>
        </w:rPr>
      </w:pPr>
    </w:p>
    <w:p w14:paraId="1C57D055" w14:textId="77777777" w:rsidR="005C4786" w:rsidRDefault="005C4786" w:rsidP="005C4786">
      <w:pPr>
        <w:pStyle w:val="Listeafsnit"/>
        <w:numPr>
          <w:ilvl w:val="0"/>
          <w:numId w:val="1"/>
        </w:numPr>
        <w:rPr>
          <w:rFonts w:ascii="Times New Roman" w:hAnsi="Times New Roman"/>
          <w:color w:val="000000"/>
          <w:sz w:val="20"/>
          <w:shd w:val="clear" w:color="auto" w:fill="FFFFFF"/>
        </w:rPr>
      </w:pPr>
      <w:r>
        <w:rPr>
          <w:rFonts w:ascii="Times New Roman" w:hAnsi="Times New Roman"/>
          <w:i/>
          <w:color w:val="000000"/>
          <w:sz w:val="20"/>
          <w:shd w:val="clear" w:color="auto" w:fill="FFFFFF"/>
        </w:rPr>
        <w:t>§ 73</w:t>
      </w:r>
      <w:r>
        <w:rPr>
          <w:rFonts w:ascii="Times New Roman" w:hAnsi="Times New Roman"/>
          <w:color w:val="000000"/>
          <w:sz w:val="20"/>
          <w:shd w:val="clear" w:color="auto" w:fill="FFFFFF"/>
        </w:rPr>
        <w:t> affattes således:</w:t>
      </w:r>
    </w:p>
    <w:p w14:paraId="6FDFFC15" w14:textId="77777777" w:rsidR="005C4786" w:rsidRDefault="005C4786" w:rsidP="005C4786">
      <w:pPr>
        <w:pStyle w:val="Listeafsnit"/>
        <w:rPr>
          <w:rFonts w:ascii="Times New Roman" w:hAnsi="Times New Roman"/>
          <w:color w:val="000000"/>
          <w:sz w:val="20"/>
          <w:shd w:val="clear" w:color="auto" w:fill="FFFFFF"/>
        </w:rPr>
      </w:pPr>
      <w:r>
        <w:rPr>
          <w:rFonts w:ascii="Times New Roman" w:hAnsi="Times New Roman"/>
          <w:color w:val="000000"/>
          <w:sz w:val="20"/>
          <w:shd w:val="clear" w:color="auto" w:fill="FFFFFF"/>
        </w:rPr>
        <w:t>»</w:t>
      </w:r>
      <w:r>
        <w:rPr>
          <w:rFonts w:ascii="Times New Roman" w:hAnsi="Times New Roman"/>
          <w:b/>
          <w:color w:val="000000"/>
          <w:sz w:val="20"/>
          <w:shd w:val="clear" w:color="auto" w:fill="FFFFFF"/>
        </w:rPr>
        <w:t>§ 73. </w:t>
      </w:r>
      <w:r>
        <w:rPr>
          <w:rFonts w:ascii="Times New Roman" w:hAnsi="Times New Roman"/>
          <w:color w:val="000000"/>
          <w:sz w:val="20"/>
          <w:shd w:val="clear" w:color="auto" w:fill="FFFFFF"/>
        </w:rPr>
        <w:t>Revisor skal påse, om bestyrelsen overholder sine pligter til at oprette og føre bøger, fortegnelser og protokoller, og om reglerne om forelæggelse og underskrivelse af revisionsprotokollen er overholdt, hvis revisor fører en sådan. Konstaterer revisor, at de omhandlede krav ikke er opfyldt, skal revisor udfærdige en særskilt udtalelse herom, der indsendes til fondsmyndigheden.«</w:t>
      </w:r>
    </w:p>
    <w:p w14:paraId="7ED69C19" w14:textId="77777777" w:rsidR="005C4786" w:rsidRDefault="005C4786" w:rsidP="005C4786">
      <w:pPr>
        <w:pStyle w:val="Listeafsnit"/>
        <w:rPr>
          <w:rFonts w:ascii="Times New Roman" w:hAnsi="Times New Roman"/>
          <w:color w:val="000000"/>
          <w:sz w:val="20"/>
          <w:shd w:val="clear" w:color="auto" w:fill="FFFFFF"/>
        </w:rPr>
      </w:pPr>
    </w:p>
    <w:p w14:paraId="0A2F6FA2" w14:textId="77777777" w:rsidR="005C4786" w:rsidRDefault="005C4786" w:rsidP="005C4786">
      <w:pPr>
        <w:pStyle w:val="Listeafsnit"/>
        <w:numPr>
          <w:ilvl w:val="0"/>
          <w:numId w:val="1"/>
        </w:numPr>
        <w:tabs>
          <w:tab w:val="left" w:pos="284"/>
        </w:tabs>
        <w:rPr>
          <w:rFonts w:ascii="Times New Roman" w:hAnsi="Times New Roman"/>
          <w:color w:val="000000"/>
          <w:sz w:val="20"/>
          <w:shd w:val="clear" w:color="auto" w:fill="FFFFFF"/>
        </w:rPr>
      </w:pPr>
      <w:r>
        <w:rPr>
          <w:rFonts w:ascii="Times New Roman" w:hAnsi="Times New Roman"/>
          <w:color w:val="000000"/>
          <w:sz w:val="20"/>
          <w:shd w:val="clear" w:color="auto" w:fill="FFFFFF"/>
        </w:rPr>
        <w:t xml:space="preserve">I </w:t>
      </w:r>
      <w:r>
        <w:rPr>
          <w:rFonts w:ascii="Times New Roman" w:hAnsi="Times New Roman"/>
          <w:i/>
          <w:color w:val="000000"/>
          <w:sz w:val="20"/>
          <w:shd w:val="clear" w:color="auto" w:fill="FFFFFF"/>
        </w:rPr>
        <w:t xml:space="preserve">§ 115, stk. 1, </w:t>
      </w:r>
      <w:r>
        <w:rPr>
          <w:rFonts w:ascii="Times New Roman" w:hAnsi="Times New Roman"/>
          <w:color w:val="000000"/>
          <w:sz w:val="20"/>
          <w:shd w:val="clear" w:color="auto" w:fill="FFFFFF"/>
        </w:rPr>
        <w:t>indsættes efter nr. 2 som nye numre:</w:t>
      </w:r>
    </w:p>
    <w:p w14:paraId="58DA59C4" w14:textId="77777777" w:rsidR="005C4786" w:rsidRDefault="005C4786" w:rsidP="005C4786">
      <w:pPr>
        <w:pStyle w:val="Listeafsnit"/>
        <w:tabs>
          <w:tab w:val="left" w:pos="284"/>
          <w:tab w:val="left" w:pos="1134"/>
        </w:tabs>
        <w:ind w:left="1134" w:hanging="414"/>
        <w:rPr>
          <w:rFonts w:ascii="Times New Roman" w:hAnsi="Times New Roman"/>
          <w:color w:val="000000"/>
          <w:sz w:val="20"/>
          <w:shd w:val="clear" w:color="auto" w:fill="FFFFFF"/>
        </w:rPr>
      </w:pPr>
      <w:r>
        <w:rPr>
          <w:rFonts w:ascii="Times New Roman" w:hAnsi="Times New Roman"/>
          <w:color w:val="000000"/>
          <w:sz w:val="20"/>
          <w:shd w:val="clear" w:color="auto" w:fill="FFFFFF"/>
        </w:rPr>
        <w:t xml:space="preserve">»3) </w:t>
      </w:r>
      <w:r>
        <w:rPr>
          <w:rFonts w:ascii="Times New Roman" w:hAnsi="Times New Roman"/>
          <w:color w:val="000000"/>
          <w:sz w:val="20"/>
          <w:shd w:val="clear" w:color="auto" w:fill="FFFFFF"/>
        </w:rPr>
        <w:tab/>
        <w:t>fonden ikke har registreret oplysninger om reelle ejere eller fonden har foretaget mangelfuld registrering i henhold til § 21 a,</w:t>
      </w:r>
    </w:p>
    <w:p w14:paraId="4BB28BB8" w14:textId="77777777" w:rsidR="005C4786" w:rsidRDefault="005C4786" w:rsidP="005C4786">
      <w:pPr>
        <w:pStyle w:val="Listeafsnit"/>
        <w:tabs>
          <w:tab w:val="left" w:pos="284"/>
          <w:tab w:val="left" w:pos="851"/>
          <w:tab w:val="left" w:pos="1134"/>
        </w:tabs>
        <w:ind w:left="1134" w:hanging="414"/>
        <w:rPr>
          <w:rFonts w:ascii="Times New Roman" w:hAnsi="Times New Roman"/>
          <w:color w:val="000000"/>
          <w:sz w:val="20"/>
          <w:shd w:val="clear" w:color="auto" w:fill="FFFFFF"/>
        </w:rPr>
      </w:pPr>
      <w:r>
        <w:rPr>
          <w:rFonts w:ascii="Times New Roman" w:hAnsi="Times New Roman"/>
          <w:color w:val="000000"/>
          <w:sz w:val="20"/>
          <w:shd w:val="clear" w:color="auto" w:fill="FFFFFF"/>
        </w:rPr>
        <w:tab/>
        <w:t>4)</w:t>
      </w:r>
      <w:r>
        <w:rPr>
          <w:rFonts w:ascii="Times New Roman" w:hAnsi="Times New Roman"/>
          <w:color w:val="000000"/>
          <w:sz w:val="20"/>
          <w:shd w:val="clear" w:color="auto" w:fill="FFFFFF"/>
        </w:rPr>
        <w:tab/>
        <w:t>fonden ikke har opbevaret dokumentation for oplysningerne om fondens reelle ejere eller fonden har opbevaret mangelfuld dokumentation i henhold til § 21 a,«</w:t>
      </w:r>
    </w:p>
    <w:p w14:paraId="1BA6F1AE" w14:textId="77777777" w:rsidR="005C4786" w:rsidRDefault="005C4786" w:rsidP="005C4786">
      <w:pPr>
        <w:pStyle w:val="Listeafsnit"/>
        <w:tabs>
          <w:tab w:val="left" w:pos="284"/>
        </w:tabs>
        <w:rPr>
          <w:rFonts w:ascii="Times New Roman" w:hAnsi="Times New Roman"/>
          <w:color w:val="000000"/>
          <w:sz w:val="20"/>
          <w:shd w:val="clear" w:color="auto" w:fill="FFFFFF"/>
        </w:rPr>
      </w:pPr>
    </w:p>
    <w:p w14:paraId="6E925FE6" w14:textId="77777777" w:rsidR="005C4786" w:rsidRDefault="005C4786" w:rsidP="005C4786">
      <w:pPr>
        <w:pStyle w:val="Listeafsnit"/>
        <w:tabs>
          <w:tab w:val="left" w:pos="284"/>
        </w:tabs>
        <w:rPr>
          <w:rFonts w:ascii="Times New Roman" w:hAnsi="Times New Roman"/>
          <w:color w:val="000000"/>
          <w:sz w:val="20"/>
          <w:shd w:val="clear" w:color="auto" w:fill="FFFFFF"/>
        </w:rPr>
      </w:pPr>
      <w:r>
        <w:rPr>
          <w:rFonts w:ascii="Times New Roman" w:hAnsi="Times New Roman"/>
          <w:color w:val="000000"/>
          <w:sz w:val="20"/>
          <w:shd w:val="clear" w:color="auto" w:fill="FFFFFF"/>
        </w:rPr>
        <w:t>Nr. 3 og 4 bliver herefter nr. 5 og 6.</w:t>
      </w:r>
    </w:p>
    <w:p w14:paraId="0075E389" w14:textId="77777777" w:rsidR="005C4786" w:rsidRDefault="005C4786" w:rsidP="005C4786">
      <w:pPr>
        <w:pStyle w:val="Listeafsnit"/>
        <w:tabs>
          <w:tab w:val="left" w:pos="284"/>
        </w:tabs>
        <w:rPr>
          <w:rFonts w:ascii="Times New Roman" w:hAnsi="Times New Roman"/>
          <w:color w:val="000000"/>
          <w:sz w:val="20"/>
          <w:shd w:val="clear" w:color="auto" w:fill="FFFFFF"/>
        </w:rPr>
      </w:pPr>
    </w:p>
    <w:p w14:paraId="45A69E50" w14:textId="77777777" w:rsidR="005C4786" w:rsidRDefault="005C4786" w:rsidP="005C4786">
      <w:pPr>
        <w:pStyle w:val="Listeafsnit"/>
        <w:numPr>
          <w:ilvl w:val="0"/>
          <w:numId w:val="1"/>
        </w:numPr>
        <w:tabs>
          <w:tab w:val="left" w:pos="284"/>
        </w:tabs>
        <w:rPr>
          <w:rFonts w:ascii="Times New Roman" w:hAnsi="Times New Roman"/>
          <w:color w:val="000000"/>
          <w:sz w:val="20"/>
          <w:shd w:val="clear" w:color="auto" w:fill="FFFFFF"/>
        </w:rPr>
      </w:pPr>
      <w:r>
        <w:rPr>
          <w:rFonts w:ascii="Times New Roman" w:hAnsi="Times New Roman"/>
          <w:color w:val="000000"/>
          <w:sz w:val="20"/>
          <w:shd w:val="clear" w:color="auto" w:fill="FFFFFF"/>
        </w:rPr>
        <w:t xml:space="preserve">I </w:t>
      </w:r>
      <w:r>
        <w:rPr>
          <w:rFonts w:ascii="Times New Roman" w:hAnsi="Times New Roman"/>
          <w:i/>
          <w:color w:val="000000"/>
          <w:sz w:val="20"/>
          <w:shd w:val="clear" w:color="auto" w:fill="FFFFFF"/>
        </w:rPr>
        <w:t xml:space="preserve">§ 132, stk. 1, 1. pkt., </w:t>
      </w:r>
      <w:r>
        <w:rPr>
          <w:rFonts w:ascii="Times New Roman" w:hAnsi="Times New Roman"/>
          <w:color w:val="000000"/>
          <w:sz w:val="20"/>
          <w:shd w:val="clear" w:color="auto" w:fill="FFFFFF"/>
        </w:rPr>
        <w:t>indsættes efter »§§ 5, 13 og 15,«: »§ 21 a, stk. 3, 5 og 6«.</w:t>
      </w:r>
    </w:p>
    <w:p w14:paraId="24144EF6" w14:textId="77777777" w:rsidR="005C4786" w:rsidRDefault="005C4786" w:rsidP="005C4786">
      <w:pPr>
        <w:tabs>
          <w:tab w:val="left" w:pos="284"/>
        </w:tabs>
        <w:rPr>
          <w:rFonts w:ascii="Times New Roman" w:hAnsi="Times New Roman"/>
          <w:color w:val="000000"/>
          <w:sz w:val="20"/>
          <w:shd w:val="clear" w:color="auto" w:fill="FFFFFF"/>
        </w:rPr>
      </w:pPr>
    </w:p>
    <w:p w14:paraId="3A2607E3" w14:textId="77777777" w:rsidR="005C4786" w:rsidRDefault="005C4786" w:rsidP="005C4786">
      <w:pPr>
        <w:tabs>
          <w:tab w:val="left" w:pos="284"/>
        </w:tabs>
        <w:rPr>
          <w:rFonts w:ascii="Times New Roman" w:hAnsi="Times New Roman"/>
          <w:color w:val="000000"/>
          <w:sz w:val="20"/>
          <w:shd w:val="clear" w:color="auto" w:fill="FFFFFF"/>
        </w:rPr>
      </w:pPr>
      <w:r>
        <w:rPr>
          <w:rFonts w:ascii="Times New Roman" w:hAnsi="Times New Roman"/>
          <w:color w:val="000000"/>
          <w:sz w:val="20"/>
          <w:shd w:val="clear" w:color="auto" w:fill="FFFFFF"/>
        </w:rPr>
        <w:tab/>
      </w:r>
      <w:r>
        <w:rPr>
          <w:rFonts w:ascii="Times New Roman" w:hAnsi="Times New Roman"/>
          <w:b/>
          <w:color w:val="000000"/>
          <w:sz w:val="20"/>
          <w:shd w:val="clear" w:color="auto" w:fill="FFFFFF"/>
        </w:rPr>
        <w:t xml:space="preserve">§ 3. </w:t>
      </w:r>
      <w:r>
        <w:rPr>
          <w:rFonts w:ascii="Times New Roman" w:hAnsi="Times New Roman"/>
          <w:color w:val="000000"/>
          <w:sz w:val="20"/>
          <w:shd w:val="clear" w:color="auto" w:fill="FFFFFF"/>
        </w:rPr>
        <w:t>Erhvervsministeren fastsætter tidspunktet for anordningens ikrafttræden og kan herunder fastsætte, at forskellige dele af anordningen træder i kraft på forskellige tidspunkter.</w:t>
      </w:r>
    </w:p>
    <w:p w14:paraId="6009651B" w14:textId="6503F42F" w:rsidR="005C4786" w:rsidRDefault="005C4786" w:rsidP="005C4786">
      <w:pPr>
        <w:tabs>
          <w:tab w:val="left" w:pos="284"/>
        </w:tabs>
        <w:rPr>
          <w:rFonts w:ascii="Times New Roman" w:hAnsi="Times New Roman"/>
          <w:color w:val="000000"/>
          <w:sz w:val="20"/>
          <w:shd w:val="clear" w:color="auto" w:fill="FFFFFF"/>
        </w:rPr>
      </w:pPr>
      <w:r>
        <w:rPr>
          <w:rFonts w:ascii="Times New Roman" w:hAnsi="Times New Roman"/>
          <w:color w:val="000000"/>
          <w:sz w:val="20"/>
          <w:shd w:val="clear" w:color="auto" w:fill="FFFFFF"/>
        </w:rPr>
        <w:tab/>
      </w:r>
      <w:r>
        <w:rPr>
          <w:rFonts w:ascii="Times New Roman" w:hAnsi="Times New Roman"/>
          <w:i/>
          <w:color w:val="000000"/>
          <w:sz w:val="20"/>
          <w:shd w:val="clear" w:color="auto" w:fill="FFFFFF"/>
        </w:rPr>
        <w:t>Stk. 2.</w:t>
      </w:r>
      <w:r>
        <w:rPr>
          <w:rFonts w:ascii="Times New Roman" w:hAnsi="Times New Roman"/>
          <w:color w:val="000000"/>
          <w:sz w:val="20"/>
          <w:shd w:val="clear" w:color="auto" w:fill="FFFFFF"/>
        </w:rPr>
        <w:t xml:space="preserve"> Erhvervsministeren kan fastsætte regler om særlige overgangsordninger for de </w:t>
      </w:r>
      <w:r w:rsidR="00FE6BC6">
        <w:rPr>
          <w:rFonts w:ascii="Times New Roman" w:hAnsi="Times New Roman"/>
          <w:color w:val="000000"/>
          <w:sz w:val="20"/>
          <w:shd w:val="clear" w:color="auto" w:fill="FFFFFF"/>
        </w:rPr>
        <w:t>fonde</w:t>
      </w:r>
      <w:r>
        <w:rPr>
          <w:rFonts w:ascii="Times New Roman" w:hAnsi="Times New Roman"/>
          <w:color w:val="000000"/>
          <w:sz w:val="20"/>
          <w:shd w:val="clear" w:color="auto" w:fill="FFFFFF"/>
        </w:rPr>
        <w:t xml:space="preserve">, der er omfattet af anordningen, og </w:t>
      </w:r>
      <w:r w:rsidR="000A5BB7">
        <w:rPr>
          <w:rFonts w:ascii="Times New Roman" w:hAnsi="Times New Roman"/>
          <w:color w:val="000000"/>
          <w:sz w:val="20"/>
          <w:shd w:val="clear" w:color="auto" w:fill="FFFFFF"/>
        </w:rPr>
        <w:t>ledelses</w:t>
      </w:r>
      <w:r>
        <w:rPr>
          <w:rFonts w:ascii="Times New Roman" w:hAnsi="Times New Roman"/>
          <w:color w:val="000000"/>
          <w:sz w:val="20"/>
          <w:shd w:val="clear" w:color="auto" w:fill="FFFFFF"/>
        </w:rPr>
        <w:t>organer samt disses opgaver.</w:t>
      </w:r>
    </w:p>
    <w:p w14:paraId="6378AE40" w14:textId="77777777" w:rsidR="005C4786" w:rsidRDefault="005C4786" w:rsidP="005C4786">
      <w:pPr>
        <w:tabs>
          <w:tab w:val="left" w:pos="284"/>
        </w:tabs>
        <w:rPr>
          <w:rFonts w:ascii="Times New Roman" w:hAnsi="Times New Roman"/>
          <w:color w:val="000000"/>
          <w:sz w:val="20"/>
          <w:shd w:val="clear" w:color="auto" w:fill="FFFFFF"/>
        </w:rPr>
      </w:pPr>
    </w:p>
    <w:p w14:paraId="27C1A73E" w14:textId="77777777" w:rsidR="005C4786" w:rsidRPr="00C53337" w:rsidRDefault="005C4786" w:rsidP="005C4786">
      <w:pPr>
        <w:tabs>
          <w:tab w:val="left" w:pos="284"/>
        </w:tabs>
        <w:rPr>
          <w:rFonts w:ascii="Times New Roman" w:hAnsi="Times New Roman"/>
          <w:color w:val="000000"/>
          <w:sz w:val="20"/>
          <w:shd w:val="clear" w:color="auto" w:fill="FFFFFF"/>
        </w:rPr>
      </w:pPr>
    </w:p>
    <w:p w14:paraId="4B39AEC5" w14:textId="77777777" w:rsidR="005C4786" w:rsidRPr="00C53337" w:rsidRDefault="005C4786" w:rsidP="005C4786">
      <w:pPr>
        <w:tabs>
          <w:tab w:val="left" w:pos="284"/>
        </w:tabs>
        <w:rPr>
          <w:rFonts w:ascii="Times New Roman" w:hAnsi="Times New Roman"/>
          <w:color w:val="000000"/>
          <w:sz w:val="20"/>
          <w:shd w:val="clear" w:color="auto" w:fill="FFFFFF"/>
        </w:rPr>
      </w:pPr>
    </w:p>
    <w:p w14:paraId="7EF28CB6" w14:textId="77777777" w:rsidR="005C4786" w:rsidRPr="00C53337" w:rsidRDefault="005C4786" w:rsidP="005C4786">
      <w:pPr>
        <w:ind w:firstLine="240"/>
        <w:jc w:val="center"/>
        <w:rPr>
          <w:rFonts w:ascii="Times New Roman" w:hAnsi="Times New Roman"/>
          <w:i/>
          <w:iCs/>
          <w:color w:val="000000"/>
          <w:sz w:val="20"/>
          <w:shd w:val="clear" w:color="auto" w:fill="FFFFFF"/>
        </w:rPr>
      </w:pPr>
      <w:r w:rsidRPr="00C53337">
        <w:rPr>
          <w:rFonts w:ascii="Times New Roman" w:hAnsi="Times New Roman"/>
          <w:i/>
          <w:iCs/>
          <w:color w:val="000000"/>
          <w:sz w:val="20"/>
          <w:shd w:val="clear" w:color="auto" w:fill="FFFFFF"/>
        </w:rPr>
        <w:t>Givet på …, den ...</w:t>
      </w:r>
    </w:p>
    <w:p w14:paraId="3A0D1775" w14:textId="77777777" w:rsidR="005C4786" w:rsidRPr="00C53337" w:rsidRDefault="005C4786" w:rsidP="005C4786">
      <w:pPr>
        <w:ind w:firstLine="240"/>
        <w:jc w:val="center"/>
        <w:rPr>
          <w:rFonts w:ascii="Times New Roman" w:hAnsi="Times New Roman"/>
          <w:color w:val="000000"/>
          <w:sz w:val="20"/>
          <w:shd w:val="clear" w:color="auto" w:fill="FFFFFF"/>
        </w:rPr>
      </w:pPr>
      <w:r w:rsidRPr="00C53337">
        <w:rPr>
          <w:rFonts w:ascii="Times New Roman" w:hAnsi="Times New Roman"/>
          <w:color w:val="000000"/>
          <w:sz w:val="20"/>
          <w:shd w:val="clear" w:color="auto" w:fill="FFFFFF"/>
        </w:rPr>
        <w:t xml:space="preserve">Under </w:t>
      </w:r>
      <w:proofErr w:type="gramStart"/>
      <w:r w:rsidRPr="00C53337">
        <w:rPr>
          <w:rFonts w:ascii="Times New Roman" w:hAnsi="Times New Roman"/>
          <w:color w:val="000000"/>
          <w:sz w:val="20"/>
          <w:shd w:val="clear" w:color="auto" w:fill="FFFFFF"/>
        </w:rPr>
        <w:t>Vor</w:t>
      </w:r>
      <w:proofErr w:type="gramEnd"/>
      <w:r w:rsidRPr="00C53337">
        <w:rPr>
          <w:rFonts w:ascii="Times New Roman" w:hAnsi="Times New Roman"/>
          <w:color w:val="000000"/>
          <w:sz w:val="20"/>
          <w:shd w:val="clear" w:color="auto" w:fill="FFFFFF"/>
        </w:rPr>
        <w:t xml:space="preserve"> Kongelige Hånd og Segl</w:t>
      </w:r>
    </w:p>
    <w:p w14:paraId="2349A85D" w14:textId="77777777" w:rsidR="005C4786" w:rsidRPr="00C53337" w:rsidRDefault="005C4786" w:rsidP="005C4786">
      <w:pPr>
        <w:ind w:firstLine="240"/>
        <w:jc w:val="both"/>
        <w:rPr>
          <w:rFonts w:ascii="Times New Roman" w:hAnsi="Times New Roman"/>
          <w:color w:val="000000"/>
          <w:sz w:val="20"/>
          <w:shd w:val="clear" w:color="auto" w:fill="FFFFFF"/>
        </w:rPr>
      </w:pPr>
    </w:p>
    <w:p w14:paraId="5BCCCEDA" w14:textId="77777777" w:rsidR="005C4786" w:rsidRPr="00C53337" w:rsidRDefault="005C4786" w:rsidP="005C4786">
      <w:pPr>
        <w:ind w:firstLine="240"/>
        <w:jc w:val="both"/>
        <w:rPr>
          <w:rFonts w:ascii="Times New Roman" w:hAnsi="Times New Roman"/>
          <w:color w:val="000000"/>
          <w:sz w:val="20"/>
          <w:shd w:val="clear" w:color="auto" w:fill="FFFFFF"/>
        </w:rPr>
      </w:pPr>
    </w:p>
    <w:p w14:paraId="5B285D95" w14:textId="77777777" w:rsidR="005C4786" w:rsidRPr="00C53337" w:rsidRDefault="005C4786" w:rsidP="005C4786">
      <w:pPr>
        <w:jc w:val="right"/>
        <w:rPr>
          <w:rFonts w:ascii="Times New Roman" w:hAnsi="Times New Roman"/>
          <w:color w:val="000000"/>
          <w:sz w:val="20"/>
          <w:shd w:val="clear" w:color="auto" w:fill="FFFFFF"/>
        </w:rPr>
      </w:pPr>
      <w:r w:rsidRPr="00C53337">
        <w:rPr>
          <w:rFonts w:ascii="Times New Roman" w:hAnsi="Times New Roman"/>
          <w:color w:val="000000"/>
          <w:sz w:val="20"/>
          <w:shd w:val="clear" w:color="auto" w:fill="FFFFFF"/>
        </w:rPr>
        <w:t>/…</w:t>
      </w:r>
    </w:p>
    <w:p w14:paraId="369AF58C" w14:textId="77777777" w:rsidR="005C4786" w:rsidRPr="00C53337" w:rsidRDefault="005C4786" w:rsidP="005C4786">
      <w:pPr>
        <w:jc w:val="both"/>
        <w:rPr>
          <w:rFonts w:ascii="Times New Roman" w:hAnsi="Times New Roman"/>
          <w:color w:val="000000"/>
          <w:sz w:val="20"/>
          <w:shd w:val="clear" w:color="auto" w:fill="FFFFFF"/>
        </w:rPr>
      </w:pPr>
    </w:p>
    <w:p w14:paraId="71CABC38" w14:textId="77777777" w:rsidR="005C4786" w:rsidRPr="00C53337" w:rsidRDefault="005C4786" w:rsidP="005C4786">
      <w:pPr>
        <w:jc w:val="both"/>
        <w:rPr>
          <w:rFonts w:ascii="Times New Roman" w:hAnsi="Times New Roman"/>
          <w:color w:val="000000"/>
          <w:sz w:val="20"/>
          <w:shd w:val="clear" w:color="auto" w:fill="FFFFFF"/>
        </w:rPr>
      </w:pPr>
    </w:p>
    <w:p w14:paraId="09A3B1AC" w14:textId="77777777" w:rsidR="005C4786" w:rsidRPr="00C53337" w:rsidRDefault="005C4786" w:rsidP="005C4786">
      <w:pPr>
        <w:jc w:val="both"/>
        <w:rPr>
          <w:rFonts w:ascii="Times New Roman" w:hAnsi="Times New Roman"/>
          <w:color w:val="000000"/>
          <w:sz w:val="20"/>
          <w:shd w:val="clear" w:color="auto" w:fill="FFFFFF"/>
        </w:rPr>
      </w:pPr>
    </w:p>
    <w:p w14:paraId="67E3DABD" w14:textId="77777777" w:rsidR="005C4786" w:rsidRPr="00C53337" w:rsidRDefault="005C4786" w:rsidP="005C4786">
      <w:pPr>
        <w:jc w:val="both"/>
        <w:rPr>
          <w:rFonts w:ascii="Times New Roman" w:hAnsi="Times New Roman"/>
          <w:color w:val="000000"/>
          <w:sz w:val="20"/>
          <w:shd w:val="clear" w:color="auto" w:fill="FFFFFF"/>
        </w:rPr>
      </w:pPr>
      <w:proofErr w:type="spellStart"/>
      <w:r w:rsidRPr="00C53337">
        <w:rPr>
          <w:rFonts w:ascii="Times New Roman" w:hAnsi="Times New Roman"/>
          <w:color w:val="000000"/>
          <w:sz w:val="20"/>
          <w:shd w:val="clear" w:color="auto" w:fill="FFFFFF"/>
        </w:rPr>
        <w:t>Erhvervsmin</w:t>
      </w:r>
      <w:proofErr w:type="spellEnd"/>
      <w:r w:rsidRPr="00C53337">
        <w:rPr>
          <w:rFonts w:ascii="Times New Roman" w:hAnsi="Times New Roman"/>
          <w:color w:val="000000"/>
          <w:sz w:val="20"/>
          <w:shd w:val="clear" w:color="auto" w:fill="FFFFFF"/>
        </w:rPr>
        <w:t>.,</w:t>
      </w:r>
    </w:p>
    <w:p w14:paraId="2B4B7AE6" w14:textId="77777777" w:rsidR="005C4786" w:rsidRPr="00C53337" w:rsidRDefault="005C4786" w:rsidP="005C4786">
      <w:pPr>
        <w:jc w:val="both"/>
        <w:rPr>
          <w:rFonts w:ascii="Times New Roman" w:hAnsi="Times New Roman"/>
          <w:color w:val="000000"/>
          <w:sz w:val="20"/>
          <w:shd w:val="clear" w:color="auto" w:fill="FFFFFF"/>
        </w:rPr>
      </w:pPr>
      <w:r w:rsidRPr="00C53337">
        <w:rPr>
          <w:rFonts w:ascii="Times New Roman" w:hAnsi="Times New Roman"/>
          <w:color w:val="000000"/>
          <w:sz w:val="20"/>
          <w:shd w:val="clear" w:color="auto" w:fill="FFFFFF"/>
        </w:rPr>
        <w:t>Erhvervsstyrelsen, j. nr. 2019-8103</w:t>
      </w:r>
    </w:p>
    <w:p w14:paraId="09B69529" w14:textId="77777777" w:rsidR="005C4786" w:rsidRDefault="005C4786" w:rsidP="005C4786">
      <w:pPr>
        <w:tabs>
          <w:tab w:val="left" w:pos="284"/>
        </w:tabs>
        <w:rPr>
          <w:rFonts w:ascii="Times New Roman" w:hAnsi="Times New Roman"/>
          <w:color w:val="000000"/>
          <w:sz w:val="20"/>
          <w:shd w:val="clear" w:color="auto" w:fill="FFFFFF"/>
        </w:rPr>
      </w:pPr>
    </w:p>
    <w:p w14:paraId="3C8503F0" w14:textId="77777777" w:rsidR="005C4786" w:rsidRDefault="005C4786" w:rsidP="005C4786"/>
    <w:p w14:paraId="55F4D0F3" w14:textId="77777777" w:rsidR="0050719D" w:rsidRDefault="0050719D"/>
    <w:sectPr w:rsidR="0050719D" w:rsidSect="005C4786">
      <w:endnotePr>
        <w:numFmt w:val="decimal"/>
      </w:endnotePr>
      <w:type w:val="nextColumn"/>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8C9F3" w14:textId="77777777" w:rsidR="00D7103E" w:rsidRDefault="00D7103E" w:rsidP="00EC76D3">
      <w:r>
        <w:separator/>
      </w:r>
    </w:p>
  </w:endnote>
  <w:endnote w:type="continuationSeparator" w:id="0">
    <w:p w14:paraId="64E3F4B8" w14:textId="77777777" w:rsidR="00D7103E" w:rsidRDefault="00D7103E" w:rsidP="00EC76D3">
      <w:r>
        <w:continuationSeparator/>
      </w:r>
    </w:p>
  </w:endnote>
  <w:endnote w:id="1">
    <w:p w14:paraId="2C356861" w14:textId="77777777" w:rsidR="005C4786" w:rsidRDefault="005C4786" w:rsidP="005C4786">
      <w:pPr>
        <w:pStyle w:val="Slutnotetekst"/>
        <w:rPr>
          <w:color w:val="000000"/>
          <w:shd w:val="clear" w:color="auto" w:fill="FFFFFF"/>
        </w:rPr>
      </w:pPr>
      <w:r>
        <w:rPr>
          <w:rStyle w:val="Slutnotehenvisning"/>
          <w:color w:val="000000"/>
          <w:shd w:val="clear" w:color="auto" w:fill="FFFFFF"/>
        </w:rPr>
        <w:endnoteRef/>
      </w:r>
      <w:r>
        <w:rPr>
          <w:color w:val="000000"/>
          <w:shd w:val="clear" w:color="auto" w:fill="FFFFFF"/>
        </w:rPr>
        <w:t xml:space="preserve"> </w:t>
      </w:r>
      <w:r>
        <w:rPr>
          <w:rFonts w:ascii="Times New Roman" w:hAnsi="Times New Roman"/>
          <w:color w:val="000000"/>
          <w:shd w:val="clear" w:color="auto" w:fill="FFFFFF"/>
        </w:rPr>
        <w:t>§ 14, stk. 1, i lov nr. 262 af 16. marts 2016 indeholder følgende bestemmelse: »Loven gælder ikke for Færøerne og Grønland, men kan ved kongelig anordning sættes i kraft for disse landsdele med de ændringer, som de færøske og grønlandske forhold tilsiger, jf. dog stk. 2 og 3.«</w:t>
      </w:r>
    </w:p>
  </w:endnote>
  <w:endnote w:id="2">
    <w:p w14:paraId="17F2113B" w14:textId="77777777" w:rsidR="005C4786" w:rsidRDefault="005C4786" w:rsidP="005C4786">
      <w:pPr>
        <w:pStyle w:val="Slutnotetekst"/>
        <w:rPr>
          <w:color w:val="000000"/>
          <w:shd w:val="clear" w:color="auto" w:fill="FFFFFF"/>
        </w:rPr>
      </w:pPr>
      <w:r>
        <w:rPr>
          <w:rStyle w:val="Slutnotehenvisning"/>
          <w:color w:val="000000"/>
          <w:shd w:val="clear" w:color="auto" w:fill="FFFFFF"/>
        </w:rPr>
        <w:endnoteRef/>
      </w:r>
      <w:r>
        <w:rPr>
          <w:color w:val="000000"/>
          <w:shd w:val="clear" w:color="auto" w:fill="FFFFFF"/>
        </w:rPr>
        <w:t xml:space="preserve"> </w:t>
      </w:r>
      <w:r>
        <w:rPr>
          <w:rFonts w:ascii="Times New Roman" w:hAnsi="Times New Roman"/>
          <w:color w:val="000000"/>
          <w:shd w:val="clear" w:color="auto" w:fill="FFFFFF"/>
        </w:rPr>
        <w:t>§ 15, stk. 2, i lov nr. 631 af 8. juni 2016 indeholder følgende bestemmelse: Loven kan ved kongelig anordning helt eller delvis sættes i kraft for Grønland med de ændringer, som de grønlandske forhold tilsiger.”</w:t>
      </w:r>
    </w:p>
  </w:endnote>
  <w:endnote w:id="3">
    <w:p w14:paraId="3C8BBC8E" w14:textId="77777777" w:rsidR="005C4786" w:rsidRDefault="005C4786" w:rsidP="005C4786">
      <w:pPr>
        <w:pStyle w:val="Slutnotetekst"/>
        <w:rPr>
          <w:color w:val="000000"/>
          <w:shd w:val="clear" w:color="auto" w:fill="FFFFFF"/>
        </w:rPr>
      </w:pPr>
      <w:r>
        <w:rPr>
          <w:rStyle w:val="Slutnotehenvisning"/>
          <w:color w:val="000000"/>
          <w:shd w:val="clear" w:color="auto" w:fill="FFFFFF"/>
        </w:rPr>
        <w:endnoteRef/>
      </w:r>
      <w:r>
        <w:rPr>
          <w:color w:val="000000"/>
          <w:shd w:val="clear" w:color="auto" w:fill="FFFFFF"/>
        </w:rPr>
        <w:t xml:space="preserve"> </w:t>
      </w:r>
      <w:r>
        <w:rPr>
          <w:rFonts w:ascii="Times New Roman" w:hAnsi="Times New Roman"/>
          <w:color w:val="000000"/>
          <w:shd w:val="clear" w:color="auto" w:fill="FFFFFF"/>
        </w:rPr>
        <w:t>§ 22, stk. 3, i lov nr. 665 af 8. juni 2017 indeholder følgende bestemmelse: ” §§ 1-14, 16, 18 og 20 kan ved kongelig anordning sættes helt eller delvis i kraft for Grønland med de ændringer, som de grønlandske forhold tilsiger.”</w:t>
      </w:r>
    </w:p>
  </w:endnote>
  <w:endnote w:id="4">
    <w:p w14:paraId="57CD6F4C" w14:textId="77777777" w:rsidR="005C4786" w:rsidRDefault="005C4786" w:rsidP="005C4786">
      <w:pPr>
        <w:pStyle w:val="Slutnotetekst"/>
        <w:rPr>
          <w:color w:val="000000"/>
          <w:shd w:val="clear" w:color="auto" w:fill="FFFFFF"/>
        </w:rPr>
      </w:pPr>
      <w:r>
        <w:rPr>
          <w:rStyle w:val="Slutnotehenvisning"/>
          <w:color w:val="000000"/>
          <w:shd w:val="clear" w:color="auto" w:fill="FFFFFF"/>
        </w:rPr>
        <w:endnoteRef/>
      </w:r>
      <w:r>
        <w:rPr>
          <w:color w:val="000000"/>
          <w:shd w:val="clear" w:color="auto" w:fill="FFFFFF"/>
        </w:rPr>
        <w:t xml:space="preserve"> </w:t>
      </w:r>
      <w:r>
        <w:rPr>
          <w:rFonts w:ascii="Times New Roman" w:hAnsi="Times New Roman"/>
          <w:color w:val="000000"/>
          <w:shd w:val="clear" w:color="auto" w:fill="FFFFFF"/>
        </w:rPr>
        <w:t>§ 9 i lov nr. 1665 af 26. december 2017 indeholder følgende bestemmelse: ”Loven gælder ikke for Færøerne og Grønland, men §§ 2-6 kan ved kongelig anordning helt eller delvis sættes i kraft for Grønland med de ændringer, som de grønlandske forhold tilsiger.”</w:t>
      </w:r>
    </w:p>
  </w:endnote>
  <w:endnote w:id="5">
    <w:p w14:paraId="7F339D08" w14:textId="77777777" w:rsidR="005C4786" w:rsidRDefault="005C4786" w:rsidP="005C4786">
      <w:pPr>
        <w:pStyle w:val="Slutnotetekst"/>
        <w:rPr>
          <w:rFonts w:ascii="Times New Roman" w:hAnsi="Times New Roman"/>
          <w:color w:val="000000"/>
          <w:shd w:val="clear" w:color="auto" w:fill="FFFFFF"/>
        </w:rPr>
      </w:pPr>
      <w:r>
        <w:rPr>
          <w:rStyle w:val="Slutnotehenvisning"/>
          <w:color w:val="000000"/>
          <w:shd w:val="clear" w:color="auto" w:fill="FFFFFF"/>
        </w:rPr>
        <w:endnoteRef/>
      </w:r>
      <w:r>
        <w:rPr>
          <w:color w:val="000000"/>
          <w:shd w:val="clear" w:color="auto" w:fill="FFFFFF"/>
        </w:rPr>
        <w:t xml:space="preserve"> </w:t>
      </w:r>
      <w:r>
        <w:rPr>
          <w:rFonts w:ascii="Times New Roman" w:hAnsi="Times New Roman"/>
          <w:color w:val="000000"/>
          <w:shd w:val="clear" w:color="auto" w:fill="FFFFFF"/>
        </w:rPr>
        <w:t>§ 3 i lov nr. 675 af 29. maj 2018 indeholder følgende bestemmelse: ”Loven gælder ikke for Færøerne og Grønland, men kan ved kongelig anordning helt eller delvis sættes i kraft for Grønland med de ændringer, som de grønlandske forhold tilsiger.”</w:t>
      </w:r>
    </w:p>
  </w:endnote>
  <w:endnote w:id="6">
    <w:p w14:paraId="7A1C47B8" w14:textId="77777777" w:rsidR="005C4786" w:rsidRDefault="005C4786" w:rsidP="005C4786">
      <w:pPr>
        <w:pStyle w:val="Slutnotetekst"/>
        <w:rPr>
          <w:rFonts w:ascii="Times New Roman" w:hAnsi="Times New Roman"/>
          <w:color w:val="000000"/>
          <w:shd w:val="clear" w:color="auto" w:fill="FFFFFF"/>
        </w:rPr>
      </w:pPr>
      <w:r>
        <w:rPr>
          <w:rStyle w:val="Slutnotehenvisning"/>
          <w:color w:val="000000"/>
          <w:shd w:val="clear" w:color="auto" w:fill="FFFFFF"/>
        </w:rPr>
        <w:endnoteRef/>
      </w:r>
      <w:r>
        <w:rPr>
          <w:color w:val="000000"/>
          <w:shd w:val="clear" w:color="auto" w:fill="FFFFFF"/>
        </w:rPr>
        <w:t xml:space="preserve"> </w:t>
      </w:r>
      <w:r>
        <w:rPr>
          <w:rFonts w:ascii="Times New Roman" w:hAnsi="Times New Roman"/>
          <w:color w:val="000000"/>
          <w:shd w:val="clear" w:color="auto" w:fill="FFFFFF"/>
        </w:rPr>
        <w:t>§ 14, stk. 1, i lov nr. 554 af 7. maj 2019 indeholder følgende bestemmelse »Loven gælder ikke for Færøerne og Grønland, men kan ved kongelig anordning helt eller delvis sættes i kraft for Færøerne og Grønland med de ændringer, som henholdsvis de færøske og grønlandske forhold tilsiger, jf. dog stk. 2 og 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92F5D" w14:textId="77777777" w:rsidR="00D7103E" w:rsidRDefault="00D7103E" w:rsidP="00EC76D3">
      <w:r>
        <w:separator/>
      </w:r>
    </w:p>
  </w:footnote>
  <w:footnote w:type="continuationSeparator" w:id="0">
    <w:p w14:paraId="07A963E2" w14:textId="77777777" w:rsidR="00D7103E" w:rsidRDefault="00D7103E" w:rsidP="00EC7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9451F3"/>
    <w:multiLevelType w:val="hybridMultilevel"/>
    <w:tmpl w:val="E9C85F72"/>
    <w:lvl w:ilvl="0" w:tplc="3024446A">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58C426E3"/>
    <w:multiLevelType w:val="hybridMultilevel"/>
    <w:tmpl w:val="E14CCC4A"/>
    <w:lvl w:ilvl="0" w:tplc="04060011">
      <w:start w:val="1"/>
      <w:numFmt w:val="decimal"/>
      <w:lvlText w:val="%1)"/>
      <w:lvlJc w:val="left"/>
      <w:pPr>
        <w:ind w:left="1440" w:hanging="360"/>
      </w:pPr>
    </w:lvl>
    <w:lvl w:ilvl="1" w:tplc="04060019">
      <w:start w:val="1"/>
      <w:numFmt w:val="lowerLetter"/>
      <w:lvlText w:val="%2."/>
      <w:lvlJc w:val="left"/>
      <w:pPr>
        <w:ind w:left="2160" w:hanging="360"/>
      </w:pPr>
    </w:lvl>
    <w:lvl w:ilvl="2" w:tplc="0406001B">
      <w:start w:val="1"/>
      <w:numFmt w:val="lowerRoman"/>
      <w:lvlText w:val="%3."/>
      <w:lvlJc w:val="right"/>
      <w:pPr>
        <w:ind w:left="2880" w:hanging="180"/>
      </w:pPr>
    </w:lvl>
    <w:lvl w:ilvl="3" w:tplc="0406000F">
      <w:start w:val="1"/>
      <w:numFmt w:val="decimal"/>
      <w:lvlText w:val="%4."/>
      <w:lvlJc w:val="left"/>
      <w:pPr>
        <w:ind w:left="3600" w:hanging="360"/>
      </w:pPr>
    </w:lvl>
    <w:lvl w:ilvl="4" w:tplc="04060019">
      <w:start w:val="1"/>
      <w:numFmt w:val="lowerLetter"/>
      <w:lvlText w:val="%5."/>
      <w:lvlJc w:val="left"/>
      <w:pPr>
        <w:ind w:left="4320" w:hanging="360"/>
      </w:pPr>
    </w:lvl>
    <w:lvl w:ilvl="5" w:tplc="0406001B">
      <w:start w:val="1"/>
      <w:numFmt w:val="lowerRoman"/>
      <w:lvlText w:val="%6."/>
      <w:lvlJc w:val="right"/>
      <w:pPr>
        <w:ind w:left="5040" w:hanging="180"/>
      </w:pPr>
    </w:lvl>
    <w:lvl w:ilvl="6" w:tplc="0406000F">
      <w:start w:val="1"/>
      <w:numFmt w:val="decimal"/>
      <w:lvlText w:val="%7."/>
      <w:lvlJc w:val="left"/>
      <w:pPr>
        <w:ind w:left="5760" w:hanging="360"/>
      </w:pPr>
    </w:lvl>
    <w:lvl w:ilvl="7" w:tplc="04060019">
      <w:start w:val="1"/>
      <w:numFmt w:val="lowerLetter"/>
      <w:lvlText w:val="%8."/>
      <w:lvlJc w:val="left"/>
      <w:pPr>
        <w:ind w:left="6480" w:hanging="360"/>
      </w:pPr>
    </w:lvl>
    <w:lvl w:ilvl="8" w:tplc="0406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786"/>
    <w:rsid w:val="00084D90"/>
    <w:rsid w:val="000A5BB7"/>
    <w:rsid w:val="000F130C"/>
    <w:rsid w:val="002105F4"/>
    <w:rsid w:val="00375333"/>
    <w:rsid w:val="0050719D"/>
    <w:rsid w:val="00535490"/>
    <w:rsid w:val="00546FFD"/>
    <w:rsid w:val="005C4786"/>
    <w:rsid w:val="0068121D"/>
    <w:rsid w:val="00730C17"/>
    <w:rsid w:val="00752FEF"/>
    <w:rsid w:val="00755B7B"/>
    <w:rsid w:val="007E0EE2"/>
    <w:rsid w:val="00802174"/>
    <w:rsid w:val="00857303"/>
    <w:rsid w:val="008B55D4"/>
    <w:rsid w:val="008D7637"/>
    <w:rsid w:val="008E3CA0"/>
    <w:rsid w:val="00B0561F"/>
    <w:rsid w:val="00B94E3D"/>
    <w:rsid w:val="00BA2C9F"/>
    <w:rsid w:val="00C16FAC"/>
    <w:rsid w:val="00CC68D8"/>
    <w:rsid w:val="00D11F49"/>
    <w:rsid w:val="00D23C46"/>
    <w:rsid w:val="00D7103E"/>
    <w:rsid w:val="00DE62F2"/>
    <w:rsid w:val="00EC76D3"/>
    <w:rsid w:val="00EF725F"/>
    <w:rsid w:val="00F837EB"/>
    <w:rsid w:val="00FE6BC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23D769"/>
  <w15:chartTrackingRefBased/>
  <w15:docId w15:val="{67A77E12-6CFF-4A36-A127-4AED6945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786"/>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Personligmeddelelsesform">
    <w:name w:val="Personlig meddelelsesform"/>
    <w:basedOn w:val="Standardskrifttypeiafsnit"/>
    <w:rPr>
      <w:rFonts w:ascii="Arial" w:hAnsi="Arial" w:cs="Arial"/>
      <w:color w:val="auto"/>
      <w:sz w:val="20"/>
    </w:rPr>
  </w:style>
  <w:style w:type="character" w:customStyle="1" w:styleId="Personligsvarlayout">
    <w:name w:val="Personlig svarlayout"/>
    <w:basedOn w:val="Standardskrifttypeiafsnit"/>
    <w:rPr>
      <w:rFonts w:ascii="Arial" w:hAnsi="Arial" w:cs="Arial"/>
      <w:color w:val="auto"/>
      <w:sz w:val="20"/>
    </w:rPr>
  </w:style>
  <w:style w:type="paragraph" w:styleId="Kommentartekst">
    <w:name w:val="annotation text"/>
    <w:basedOn w:val="Normal"/>
    <w:link w:val="KommentartekstTegn"/>
    <w:uiPriority w:val="99"/>
    <w:semiHidden/>
    <w:unhideWhenUsed/>
    <w:rsid w:val="005C4786"/>
    <w:rPr>
      <w:sz w:val="20"/>
    </w:rPr>
  </w:style>
  <w:style w:type="character" w:customStyle="1" w:styleId="KommentartekstTegn">
    <w:name w:val="Kommentartekst Tegn"/>
    <w:basedOn w:val="Standardskrifttypeiafsnit"/>
    <w:link w:val="Kommentartekst"/>
    <w:uiPriority w:val="99"/>
    <w:semiHidden/>
    <w:rsid w:val="005C4786"/>
    <w:rPr>
      <w:rFonts w:ascii="Arial" w:hAnsi="Arial"/>
    </w:rPr>
  </w:style>
  <w:style w:type="paragraph" w:styleId="Slutnotetekst">
    <w:name w:val="endnote text"/>
    <w:basedOn w:val="Normal"/>
    <w:link w:val="SlutnotetekstTegn"/>
    <w:uiPriority w:val="99"/>
    <w:semiHidden/>
    <w:unhideWhenUsed/>
    <w:rsid w:val="005C4786"/>
    <w:rPr>
      <w:sz w:val="20"/>
    </w:rPr>
  </w:style>
  <w:style w:type="character" w:customStyle="1" w:styleId="SlutnotetekstTegn">
    <w:name w:val="Slutnotetekst Tegn"/>
    <w:basedOn w:val="Standardskrifttypeiafsnit"/>
    <w:link w:val="Slutnotetekst"/>
    <w:uiPriority w:val="99"/>
    <w:semiHidden/>
    <w:rsid w:val="005C4786"/>
    <w:rPr>
      <w:rFonts w:ascii="Arial" w:hAnsi="Arial"/>
    </w:rPr>
  </w:style>
  <w:style w:type="paragraph" w:styleId="Listeafsnit">
    <w:name w:val="List Paragraph"/>
    <w:basedOn w:val="Normal"/>
    <w:uiPriority w:val="34"/>
    <w:qFormat/>
    <w:rsid w:val="005C4786"/>
    <w:pPr>
      <w:ind w:left="720"/>
      <w:contextualSpacing/>
    </w:pPr>
  </w:style>
  <w:style w:type="character" w:styleId="Kommentarhenvisning">
    <w:name w:val="annotation reference"/>
    <w:basedOn w:val="Standardskrifttypeiafsnit"/>
    <w:uiPriority w:val="99"/>
    <w:semiHidden/>
    <w:unhideWhenUsed/>
    <w:rsid w:val="005C4786"/>
    <w:rPr>
      <w:sz w:val="16"/>
      <w:szCs w:val="16"/>
    </w:rPr>
  </w:style>
  <w:style w:type="character" w:styleId="Slutnotehenvisning">
    <w:name w:val="endnote reference"/>
    <w:basedOn w:val="Standardskrifttypeiafsnit"/>
    <w:uiPriority w:val="99"/>
    <w:semiHidden/>
    <w:unhideWhenUsed/>
    <w:rsid w:val="005C4786"/>
    <w:rPr>
      <w:vertAlign w:val="superscript"/>
    </w:rPr>
  </w:style>
  <w:style w:type="paragraph" w:styleId="Markeringsbobletekst">
    <w:name w:val="Balloon Text"/>
    <w:basedOn w:val="Normal"/>
    <w:link w:val="MarkeringsbobletekstTegn"/>
    <w:uiPriority w:val="99"/>
    <w:semiHidden/>
    <w:unhideWhenUsed/>
    <w:rsid w:val="005C4786"/>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C4786"/>
    <w:rPr>
      <w:rFonts w:ascii="Segoe UI" w:hAnsi="Segoe UI" w:cs="Segoe UI"/>
      <w:sz w:val="18"/>
      <w:szCs w:val="18"/>
    </w:rPr>
  </w:style>
  <w:style w:type="paragraph" w:styleId="Kommentaremne">
    <w:name w:val="annotation subject"/>
    <w:basedOn w:val="Kommentartekst"/>
    <w:next w:val="Kommentartekst"/>
    <w:link w:val="KommentaremneTegn"/>
    <w:uiPriority w:val="99"/>
    <w:semiHidden/>
    <w:unhideWhenUsed/>
    <w:rsid w:val="008D7637"/>
    <w:rPr>
      <w:b/>
      <w:bCs/>
    </w:rPr>
  </w:style>
  <w:style w:type="character" w:customStyle="1" w:styleId="KommentaremneTegn">
    <w:name w:val="Kommentaremne Tegn"/>
    <w:basedOn w:val="KommentartekstTegn"/>
    <w:link w:val="Kommentaremne"/>
    <w:uiPriority w:val="99"/>
    <w:semiHidden/>
    <w:rsid w:val="008D763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1658</Words>
  <Characters>10118</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June Ventrup</dc:creator>
  <cp:keywords/>
  <dc:description/>
  <cp:lastModifiedBy>Sofie Christensen</cp:lastModifiedBy>
  <cp:revision>4</cp:revision>
  <dcterms:created xsi:type="dcterms:W3CDTF">2021-06-03T11:07:00Z</dcterms:created>
  <dcterms:modified xsi:type="dcterms:W3CDTF">2021-06-10T18:01:00Z</dcterms:modified>
</cp:coreProperties>
</file>