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EF8505" w14:textId="7CB92C26" w:rsidR="007D5D86" w:rsidRPr="007D5D86" w:rsidRDefault="007D5D86" w:rsidP="007D5D86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kl-GL"/>
        </w:rPr>
      </w:pPr>
      <w:bookmarkStart w:id="0" w:name="_Hlk88118348"/>
      <w:r w:rsidRPr="007D5D86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kl-GL"/>
        </w:rPr>
        <w:t xml:space="preserve">Retningslinjer for kontrol af </w:t>
      </w:r>
      <w:r w:rsidR="00334DC9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kl-GL"/>
        </w:rPr>
        <w:t>dokumentation</w:t>
      </w:r>
      <w:r w:rsidRPr="007D5D86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kl-GL"/>
        </w:rPr>
        <w:t xml:space="preserve"> ved adgang til lokaler og tilhørende arealer, hvortil offentligheden har adgang</w:t>
      </w:r>
      <w:r w:rsidR="00A168E3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kl-GL"/>
        </w:rPr>
        <w:t xml:space="preserve"> </w:t>
      </w:r>
    </w:p>
    <w:p w14:paraId="24FE3428" w14:textId="7CF11ED8" w:rsidR="00B5787F" w:rsidRDefault="00B5787F" w:rsidP="007D5D86">
      <w:pPr>
        <w:rPr>
          <w:lang w:val="kl-GL"/>
        </w:rPr>
      </w:pPr>
    </w:p>
    <w:p w14:paraId="0282177D" w14:textId="42C2A69D" w:rsidR="006D5736" w:rsidRDefault="006D5736" w:rsidP="006D5736">
      <w:pPr>
        <w:rPr>
          <w:lang w:val="kl-GL"/>
        </w:rPr>
      </w:pPr>
      <w:r w:rsidRPr="007D5D86">
        <w:rPr>
          <w:lang w:val="kl-GL"/>
        </w:rPr>
        <w:t xml:space="preserve">Retningslinjerne er lavet til </w:t>
      </w:r>
      <w:r w:rsidR="00691D8B">
        <w:rPr>
          <w:lang w:val="kl-GL"/>
        </w:rPr>
        <w:t xml:space="preserve">fysiske og juridiske personer, herunder </w:t>
      </w:r>
      <w:r>
        <w:rPr>
          <w:lang w:val="kl-GL"/>
        </w:rPr>
        <w:t xml:space="preserve">offentlige myndigheder, </w:t>
      </w:r>
      <w:r w:rsidRPr="007D5D86">
        <w:rPr>
          <w:lang w:val="kl-GL"/>
        </w:rPr>
        <w:t>virksomheder</w:t>
      </w:r>
      <w:r>
        <w:rPr>
          <w:lang w:val="kl-GL"/>
        </w:rPr>
        <w:t xml:space="preserve"> og institutioner</w:t>
      </w:r>
      <w:r w:rsidRPr="007D5D86">
        <w:rPr>
          <w:lang w:val="kl-GL"/>
        </w:rPr>
        <w:t>, der råder over lokaler og tilhørende arealer i Nuuk</w:t>
      </w:r>
      <w:r w:rsidR="00CA14D6">
        <w:rPr>
          <w:lang w:val="kl-GL"/>
        </w:rPr>
        <w:t xml:space="preserve">, Upernavik og tilhørende bygder, </w:t>
      </w:r>
      <w:r w:rsidRPr="007D5D86">
        <w:rPr>
          <w:lang w:val="kl-GL"/>
        </w:rPr>
        <w:t>hvortil offentligheden har adgang.</w:t>
      </w:r>
      <w:r w:rsidRPr="007D5D86">
        <w:t xml:space="preserve"> </w:t>
      </w:r>
      <w:r w:rsidRPr="007D5D86">
        <w:rPr>
          <w:lang w:val="kl-GL"/>
        </w:rPr>
        <w:t>Retningslinjerne er vejledende i forhold til, hvordan virksomhederne kan foretage kontrol af kunders</w:t>
      </w:r>
      <w:r w:rsidR="00A40CBB">
        <w:rPr>
          <w:lang w:val="kl-GL"/>
        </w:rPr>
        <w:t xml:space="preserve"> og</w:t>
      </w:r>
      <w:r w:rsidRPr="007D5D86">
        <w:rPr>
          <w:lang w:val="kl-GL"/>
        </w:rPr>
        <w:t xml:space="preserve"> besøgendes dokumentation </w:t>
      </w:r>
      <w:r>
        <w:rPr>
          <w:lang w:val="kl-GL"/>
        </w:rPr>
        <w:t xml:space="preserve">for at de </w:t>
      </w:r>
      <w:r w:rsidR="00691D8B">
        <w:rPr>
          <w:lang w:val="kl-GL"/>
        </w:rPr>
        <w:t>opfylder betingelserne for at få adgang til lokalet og evt. tilhørende areal</w:t>
      </w:r>
      <w:r w:rsidRPr="007D5D86">
        <w:rPr>
          <w:lang w:val="kl-GL"/>
        </w:rPr>
        <w:t>.</w:t>
      </w:r>
      <w:r>
        <w:rPr>
          <w:lang w:val="kl-GL"/>
        </w:rPr>
        <w:t xml:space="preserve"> </w:t>
      </w:r>
    </w:p>
    <w:p w14:paraId="0EBFF834" w14:textId="407EA44F" w:rsidR="006F2FC2" w:rsidRDefault="006D5736" w:rsidP="006D5736">
      <w:pPr>
        <w:rPr>
          <w:lang w:val="kl-GL"/>
        </w:rPr>
      </w:pPr>
      <w:r>
        <w:rPr>
          <w:lang w:val="kl-GL"/>
        </w:rPr>
        <w:t xml:space="preserve">Retningslinjerne er udarbejdet i henhold til </w:t>
      </w:r>
      <w:hyperlink r:id="rId8" w:history="1">
        <w:r w:rsidRPr="002E6F7F">
          <w:rPr>
            <w:rStyle w:val="Hyperlink"/>
            <w:lang w:val="kl-GL"/>
          </w:rPr>
          <w:t xml:space="preserve">Selvstyrets bekendtgørelse nr. </w:t>
        </w:r>
        <w:r w:rsidR="009C5F56" w:rsidRPr="002E6F7F">
          <w:rPr>
            <w:rStyle w:val="Hyperlink"/>
            <w:lang w:val="kl-GL"/>
          </w:rPr>
          <w:t>65</w:t>
        </w:r>
        <w:r w:rsidRPr="002E6F7F">
          <w:rPr>
            <w:rStyle w:val="Hyperlink"/>
            <w:lang w:val="kl-GL"/>
          </w:rPr>
          <w:t>. af 20. november 2021 om restriktioner for Nuuk</w:t>
        </w:r>
        <w:r w:rsidR="002E6F7F" w:rsidRPr="002E6F7F">
          <w:rPr>
            <w:rStyle w:val="Hyperlink"/>
            <w:lang w:val="kl-GL"/>
          </w:rPr>
          <w:t xml:space="preserve"> m.fl.</w:t>
        </w:r>
      </w:hyperlink>
      <w:r>
        <w:rPr>
          <w:lang w:val="kl-GL"/>
        </w:rPr>
        <w:t>, der kan findes på Naalakkersuisuts kundgørelsesportal.</w:t>
      </w:r>
    </w:p>
    <w:p w14:paraId="6C6EE33A" w14:textId="7B440282" w:rsidR="0014283E" w:rsidRDefault="0014283E" w:rsidP="006D5736">
      <w:pPr>
        <w:rPr>
          <w:b/>
          <w:bCs/>
          <w:lang w:val="kl-GL"/>
        </w:rPr>
      </w:pPr>
      <w:r>
        <w:rPr>
          <w:b/>
          <w:bCs/>
          <w:lang w:val="kl-GL"/>
        </w:rPr>
        <w:t>Hvilke byer og bygder er omfattet?</w:t>
      </w:r>
    </w:p>
    <w:p w14:paraId="7B2123BE" w14:textId="2C031905" w:rsidR="0014283E" w:rsidRDefault="0014283E" w:rsidP="0014283E">
      <w:pPr>
        <w:pStyle w:val="Listeafsnit"/>
        <w:numPr>
          <w:ilvl w:val="0"/>
          <w:numId w:val="34"/>
        </w:numPr>
        <w:rPr>
          <w:lang w:val="kl-GL"/>
        </w:rPr>
      </w:pPr>
      <w:r>
        <w:rPr>
          <w:lang w:val="kl-GL"/>
        </w:rPr>
        <w:t>Nuuk.</w:t>
      </w:r>
    </w:p>
    <w:p w14:paraId="0DE38C91" w14:textId="0391A9B1" w:rsidR="0014283E" w:rsidRDefault="0014283E" w:rsidP="0014283E">
      <w:pPr>
        <w:pStyle w:val="Listeafsnit"/>
        <w:numPr>
          <w:ilvl w:val="0"/>
          <w:numId w:val="34"/>
        </w:numPr>
        <w:rPr>
          <w:lang w:val="kl-GL"/>
        </w:rPr>
      </w:pPr>
      <w:r>
        <w:rPr>
          <w:lang w:val="kl-GL"/>
        </w:rPr>
        <w:t>Upernavik.</w:t>
      </w:r>
    </w:p>
    <w:p w14:paraId="06279052" w14:textId="5DD595CA" w:rsidR="0014283E" w:rsidRPr="0014283E" w:rsidRDefault="0014283E" w:rsidP="003A0220">
      <w:pPr>
        <w:ind w:left="360"/>
        <w:rPr>
          <w:lang w:val="kl-GL"/>
        </w:rPr>
      </w:pPr>
      <w:r w:rsidRPr="0014283E">
        <w:rPr>
          <w:lang w:val="kl-GL"/>
        </w:rPr>
        <w:t>Følgende bygder:</w:t>
      </w:r>
    </w:p>
    <w:p w14:paraId="1CF95281" w14:textId="77777777" w:rsidR="0014283E" w:rsidRDefault="0014283E" w:rsidP="003A0220">
      <w:pPr>
        <w:pStyle w:val="Listeafsnit"/>
        <w:ind w:left="360"/>
        <w:rPr>
          <w:lang w:val="kl-GL"/>
        </w:rPr>
      </w:pPr>
      <w:r w:rsidRPr="003A0220">
        <w:rPr>
          <w:lang w:val="kl-GL"/>
        </w:rPr>
        <w:t xml:space="preserve">1) Tasiusaq. </w:t>
      </w:r>
    </w:p>
    <w:p w14:paraId="37071BF7" w14:textId="77777777" w:rsidR="0014283E" w:rsidRDefault="0014283E" w:rsidP="003A0220">
      <w:pPr>
        <w:pStyle w:val="Listeafsnit"/>
        <w:ind w:left="360"/>
        <w:rPr>
          <w:lang w:val="kl-GL"/>
        </w:rPr>
      </w:pPr>
      <w:r w:rsidRPr="003A0220">
        <w:rPr>
          <w:lang w:val="kl-GL"/>
        </w:rPr>
        <w:t xml:space="preserve">2) Upernavik Kujalleq. </w:t>
      </w:r>
    </w:p>
    <w:p w14:paraId="7D06DDE5" w14:textId="77777777" w:rsidR="0014283E" w:rsidRDefault="0014283E" w:rsidP="003A0220">
      <w:pPr>
        <w:pStyle w:val="Listeafsnit"/>
        <w:ind w:left="360"/>
        <w:rPr>
          <w:lang w:val="kl-GL"/>
        </w:rPr>
      </w:pPr>
      <w:r w:rsidRPr="003A0220">
        <w:rPr>
          <w:lang w:val="kl-GL"/>
        </w:rPr>
        <w:t xml:space="preserve">3) Nutaarmiut. </w:t>
      </w:r>
    </w:p>
    <w:p w14:paraId="200164E3" w14:textId="77777777" w:rsidR="0014283E" w:rsidRDefault="0014283E" w:rsidP="003A0220">
      <w:pPr>
        <w:pStyle w:val="Listeafsnit"/>
        <w:ind w:left="360"/>
        <w:rPr>
          <w:lang w:val="kl-GL"/>
        </w:rPr>
      </w:pPr>
      <w:r w:rsidRPr="003A0220">
        <w:rPr>
          <w:lang w:val="kl-GL"/>
        </w:rPr>
        <w:t xml:space="preserve">4) Nuussuaq. </w:t>
      </w:r>
    </w:p>
    <w:p w14:paraId="334F53E6" w14:textId="77777777" w:rsidR="0014283E" w:rsidRDefault="0014283E" w:rsidP="003A0220">
      <w:pPr>
        <w:pStyle w:val="Listeafsnit"/>
        <w:ind w:left="360"/>
        <w:rPr>
          <w:lang w:val="kl-GL"/>
        </w:rPr>
      </w:pPr>
      <w:r w:rsidRPr="003A0220">
        <w:rPr>
          <w:lang w:val="kl-GL"/>
        </w:rPr>
        <w:t xml:space="preserve">5) Innaarsuit. </w:t>
      </w:r>
    </w:p>
    <w:p w14:paraId="4540EAA0" w14:textId="77777777" w:rsidR="0014283E" w:rsidRDefault="0014283E" w:rsidP="003A0220">
      <w:pPr>
        <w:pStyle w:val="Listeafsnit"/>
        <w:ind w:left="360"/>
        <w:rPr>
          <w:lang w:val="kl-GL"/>
        </w:rPr>
      </w:pPr>
      <w:r w:rsidRPr="003A0220">
        <w:rPr>
          <w:lang w:val="kl-GL"/>
        </w:rPr>
        <w:t xml:space="preserve">6) Naajaat. </w:t>
      </w:r>
    </w:p>
    <w:p w14:paraId="52562E20" w14:textId="77777777" w:rsidR="0014283E" w:rsidRDefault="0014283E" w:rsidP="003A0220">
      <w:pPr>
        <w:pStyle w:val="Listeafsnit"/>
        <w:ind w:left="360"/>
        <w:rPr>
          <w:lang w:val="kl-GL"/>
        </w:rPr>
      </w:pPr>
      <w:r w:rsidRPr="003A0220">
        <w:rPr>
          <w:lang w:val="kl-GL"/>
        </w:rPr>
        <w:t xml:space="preserve">7) Aappilattoq. </w:t>
      </w:r>
    </w:p>
    <w:p w14:paraId="274C6E67" w14:textId="77777777" w:rsidR="0014283E" w:rsidRDefault="0014283E" w:rsidP="003A0220">
      <w:pPr>
        <w:pStyle w:val="Listeafsnit"/>
        <w:ind w:left="360"/>
        <w:rPr>
          <w:lang w:val="kl-GL"/>
        </w:rPr>
      </w:pPr>
      <w:r w:rsidRPr="003A0220">
        <w:rPr>
          <w:lang w:val="kl-GL"/>
        </w:rPr>
        <w:t xml:space="preserve">8) Kangersuatsiaq. </w:t>
      </w:r>
    </w:p>
    <w:p w14:paraId="044B20C5" w14:textId="4E0A0AF8" w:rsidR="0014283E" w:rsidRPr="003A0220" w:rsidRDefault="0014283E" w:rsidP="003A0220">
      <w:pPr>
        <w:pStyle w:val="Listeafsnit"/>
        <w:ind w:left="360"/>
        <w:rPr>
          <w:lang w:val="kl-GL"/>
        </w:rPr>
      </w:pPr>
      <w:r w:rsidRPr="003A0220">
        <w:rPr>
          <w:lang w:val="kl-GL"/>
        </w:rPr>
        <w:t>9) Kullorsuaq.</w:t>
      </w:r>
    </w:p>
    <w:p w14:paraId="53CBD400" w14:textId="75101038" w:rsidR="006D5736" w:rsidRPr="003A0220" w:rsidRDefault="006F2FC2" w:rsidP="006D5736">
      <w:pPr>
        <w:rPr>
          <w:b/>
          <w:bCs/>
          <w:lang w:val="kl-GL"/>
        </w:rPr>
      </w:pPr>
      <w:r w:rsidRPr="003A0220">
        <w:rPr>
          <w:b/>
          <w:bCs/>
          <w:lang w:val="kl-GL"/>
        </w:rPr>
        <w:t>Hvilke lokaler er omfattet?</w:t>
      </w:r>
      <w:r w:rsidR="006D5736" w:rsidRPr="003A0220">
        <w:rPr>
          <w:b/>
          <w:bCs/>
          <w:lang w:val="kl-GL"/>
        </w:rPr>
        <w:t xml:space="preserve"> </w:t>
      </w:r>
    </w:p>
    <w:p w14:paraId="0DB62751" w14:textId="0C3D36A4" w:rsidR="006F2FC2" w:rsidRPr="003A0220" w:rsidRDefault="006F2FC2" w:rsidP="006F2FC2">
      <w:pPr>
        <w:pStyle w:val="Fodnotetekst"/>
        <w:rPr>
          <w:sz w:val="22"/>
          <w:szCs w:val="22"/>
        </w:rPr>
      </w:pPr>
      <w:r w:rsidRPr="003A0220">
        <w:rPr>
          <w:sz w:val="22"/>
          <w:szCs w:val="22"/>
        </w:rPr>
        <w:t>Med lokaler og tilhørende arealer, hvortil offentligheden har adgang menes alle offentlige lokaler og arealer</w:t>
      </w:r>
      <w:r w:rsidR="00CA14D6">
        <w:rPr>
          <w:sz w:val="22"/>
          <w:szCs w:val="22"/>
        </w:rPr>
        <w:t>,</w:t>
      </w:r>
      <w:r w:rsidRPr="003A0220">
        <w:rPr>
          <w:sz w:val="22"/>
          <w:szCs w:val="22"/>
        </w:rPr>
        <w:t xml:space="preserve"> hvor personers ophold sædvanligvis efter sin natur ikke er af kortvarig karakter, f.eks. (ikke udtømmende oplistet):</w:t>
      </w:r>
    </w:p>
    <w:p w14:paraId="200F01D4" w14:textId="1CBEE82B" w:rsidR="006F2FC2" w:rsidRPr="003A0220" w:rsidRDefault="006F2FC2" w:rsidP="003A0220">
      <w:pPr>
        <w:pStyle w:val="Fodnotetekst"/>
        <w:numPr>
          <w:ilvl w:val="0"/>
          <w:numId w:val="33"/>
        </w:numPr>
        <w:rPr>
          <w:sz w:val="22"/>
          <w:szCs w:val="22"/>
        </w:rPr>
      </w:pPr>
      <w:r w:rsidRPr="003A0220">
        <w:rPr>
          <w:sz w:val="22"/>
          <w:szCs w:val="22"/>
        </w:rPr>
        <w:t>Restauranter, cafeer, værtshuse, diskoteker og lignende samt deres tilhørende udearealer.</w:t>
      </w:r>
    </w:p>
    <w:p w14:paraId="7AC5ECB7" w14:textId="62DD7962" w:rsidR="006F2FC2" w:rsidRPr="003A0220" w:rsidRDefault="006F2FC2" w:rsidP="003A0220">
      <w:pPr>
        <w:pStyle w:val="Fodnotetekst"/>
        <w:numPr>
          <w:ilvl w:val="0"/>
          <w:numId w:val="33"/>
        </w:numPr>
        <w:rPr>
          <w:sz w:val="22"/>
          <w:szCs w:val="22"/>
        </w:rPr>
      </w:pPr>
      <w:r w:rsidRPr="003A0220">
        <w:rPr>
          <w:sz w:val="22"/>
          <w:szCs w:val="22"/>
        </w:rPr>
        <w:t>Kulturinstitutioner – herunder bl.a. kulturhuse, biografer, museer og udstillingshaller.</w:t>
      </w:r>
    </w:p>
    <w:p w14:paraId="16172C5B" w14:textId="6586948B" w:rsidR="006F2FC2" w:rsidRPr="003A0220" w:rsidRDefault="006F2FC2" w:rsidP="003A0220">
      <w:pPr>
        <w:pStyle w:val="Fodnotetekst"/>
        <w:numPr>
          <w:ilvl w:val="0"/>
          <w:numId w:val="33"/>
        </w:numPr>
        <w:rPr>
          <w:sz w:val="22"/>
          <w:szCs w:val="22"/>
        </w:rPr>
      </w:pPr>
      <w:r w:rsidRPr="003A0220">
        <w:rPr>
          <w:sz w:val="22"/>
          <w:szCs w:val="22"/>
        </w:rPr>
        <w:t>Medborgerhuse og lignende.</w:t>
      </w:r>
    </w:p>
    <w:p w14:paraId="120D6CEA" w14:textId="76FD8092" w:rsidR="006F2FC2" w:rsidRPr="003A0220" w:rsidRDefault="006F2FC2" w:rsidP="003A0220">
      <w:pPr>
        <w:pStyle w:val="Fodnotetekst"/>
        <w:numPr>
          <w:ilvl w:val="0"/>
          <w:numId w:val="33"/>
        </w:numPr>
        <w:rPr>
          <w:sz w:val="22"/>
          <w:szCs w:val="22"/>
        </w:rPr>
      </w:pPr>
      <w:r w:rsidRPr="003A0220">
        <w:rPr>
          <w:sz w:val="22"/>
          <w:szCs w:val="22"/>
        </w:rPr>
        <w:t>Biblioteker.</w:t>
      </w:r>
    </w:p>
    <w:p w14:paraId="2817F5EC" w14:textId="763A4657" w:rsidR="006F2FC2" w:rsidRPr="003A0220" w:rsidRDefault="006F2FC2" w:rsidP="003A0220">
      <w:pPr>
        <w:pStyle w:val="Fodnotetekst"/>
        <w:numPr>
          <w:ilvl w:val="0"/>
          <w:numId w:val="33"/>
        </w:numPr>
        <w:rPr>
          <w:sz w:val="22"/>
          <w:szCs w:val="22"/>
        </w:rPr>
      </w:pPr>
      <w:r w:rsidRPr="003A0220">
        <w:rPr>
          <w:sz w:val="22"/>
          <w:szCs w:val="22"/>
        </w:rPr>
        <w:t>Indendørs og udendørs idrætsfaciliteter – herunder bl.a. idrætslokaler og -haller, svømmehaller, fitnesscentre samt fodboldbaner.</w:t>
      </w:r>
    </w:p>
    <w:p w14:paraId="08667C72" w14:textId="34A967A0" w:rsidR="006F2FC2" w:rsidRDefault="006F2FC2" w:rsidP="003A0220">
      <w:pPr>
        <w:pStyle w:val="Listeafsnit"/>
        <w:numPr>
          <w:ilvl w:val="0"/>
          <w:numId w:val="33"/>
        </w:numPr>
      </w:pPr>
      <w:r w:rsidRPr="00691D8B">
        <w:t>Frisører, massører, skønhedsklinikker og lignende.</w:t>
      </w:r>
    </w:p>
    <w:p w14:paraId="3DF8F966" w14:textId="50D8582C" w:rsidR="006F2FC2" w:rsidRPr="003A0220" w:rsidRDefault="006F2FC2" w:rsidP="006F2FC2">
      <w:pPr>
        <w:rPr>
          <w:b/>
          <w:bCs/>
        </w:rPr>
      </w:pPr>
      <w:r w:rsidRPr="003A0220">
        <w:rPr>
          <w:b/>
          <w:bCs/>
        </w:rPr>
        <w:t>Hvilke lokaler er ikke omfattet?</w:t>
      </w:r>
    </w:p>
    <w:p w14:paraId="16BB6D0C" w14:textId="57537B92" w:rsidR="006F2FC2" w:rsidRDefault="006F2FC2" w:rsidP="006F2FC2">
      <w:pPr>
        <w:pStyle w:val="Listeafsnit"/>
        <w:numPr>
          <w:ilvl w:val="0"/>
          <w:numId w:val="31"/>
        </w:numPr>
        <w:rPr>
          <w:lang w:val="kl-GL"/>
        </w:rPr>
      </w:pPr>
      <w:r>
        <w:rPr>
          <w:lang w:val="kl-GL"/>
        </w:rPr>
        <w:t>Lokaler hvor offentligheden ikke har adgang.</w:t>
      </w:r>
    </w:p>
    <w:p w14:paraId="38B86C0D" w14:textId="5A07F4C8" w:rsidR="006F2FC2" w:rsidRDefault="006F2FC2" w:rsidP="006F2FC2">
      <w:pPr>
        <w:pStyle w:val="Listeafsnit"/>
        <w:numPr>
          <w:ilvl w:val="0"/>
          <w:numId w:val="31"/>
        </w:numPr>
        <w:rPr>
          <w:lang w:val="kl-GL"/>
        </w:rPr>
      </w:pPr>
      <w:r>
        <w:rPr>
          <w:lang w:val="kl-GL"/>
        </w:rPr>
        <w:t>Private hjem.</w:t>
      </w:r>
    </w:p>
    <w:p w14:paraId="168547D3" w14:textId="3359E3E0" w:rsidR="006F2FC2" w:rsidRPr="001411C1" w:rsidRDefault="006F2FC2" w:rsidP="006F2FC2">
      <w:pPr>
        <w:pStyle w:val="Listeafsnit"/>
        <w:numPr>
          <w:ilvl w:val="0"/>
          <w:numId w:val="31"/>
        </w:numPr>
      </w:pPr>
      <w:r w:rsidRPr="001411C1">
        <w:t xml:space="preserve">Lokaler og tilhørende arealer der </w:t>
      </w:r>
      <w:r>
        <w:t xml:space="preserve">primært </w:t>
      </w:r>
      <w:r w:rsidRPr="001411C1">
        <w:t xml:space="preserve">anvendes til </w:t>
      </w:r>
      <w:r>
        <w:t>salg af dagligvareprodukter</w:t>
      </w:r>
      <w:r w:rsidRPr="001411C1">
        <w:t>.</w:t>
      </w:r>
    </w:p>
    <w:p w14:paraId="12212AB2" w14:textId="5DF8ABA6" w:rsidR="006F2FC2" w:rsidRPr="001411C1" w:rsidRDefault="006F2FC2" w:rsidP="006F2FC2">
      <w:pPr>
        <w:pStyle w:val="Listeafsnit"/>
        <w:numPr>
          <w:ilvl w:val="0"/>
          <w:numId w:val="31"/>
        </w:numPr>
      </w:pPr>
      <w:r w:rsidRPr="001411C1">
        <w:t>Posthuse.</w:t>
      </w:r>
    </w:p>
    <w:p w14:paraId="1D6FA0C2" w14:textId="244FF000" w:rsidR="006F2FC2" w:rsidRPr="001411C1" w:rsidRDefault="006F2FC2" w:rsidP="006F2FC2">
      <w:pPr>
        <w:pStyle w:val="Listeafsnit"/>
        <w:numPr>
          <w:ilvl w:val="0"/>
          <w:numId w:val="31"/>
        </w:numPr>
      </w:pPr>
      <w:r w:rsidRPr="001411C1">
        <w:lastRenderedPageBreak/>
        <w:t>Lufthavne.</w:t>
      </w:r>
    </w:p>
    <w:p w14:paraId="5E76E324" w14:textId="58677E9B" w:rsidR="006F2FC2" w:rsidRPr="001411C1" w:rsidRDefault="006F2FC2" w:rsidP="006F2FC2">
      <w:pPr>
        <w:pStyle w:val="Listeafsnit"/>
        <w:numPr>
          <w:ilvl w:val="0"/>
          <w:numId w:val="31"/>
        </w:numPr>
      </w:pPr>
      <w:r w:rsidRPr="001411C1">
        <w:t xml:space="preserve">Ekspeditionslokaler, serviceskranker mv. hos offentlige myndigheder og forsyningsvirksomheder. </w:t>
      </w:r>
    </w:p>
    <w:p w14:paraId="19AE10E2" w14:textId="5F60E2DC" w:rsidR="006F2FC2" w:rsidRPr="003A0220" w:rsidRDefault="006F2FC2">
      <w:pPr>
        <w:pStyle w:val="Listeafsnit"/>
        <w:numPr>
          <w:ilvl w:val="0"/>
          <w:numId w:val="31"/>
        </w:numPr>
        <w:rPr>
          <w:lang w:val="kl-GL"/>
        </w:rPr>
      </w:pPr>
      <w:r w:rsidRPr="001411C1">
        <w:t>Venteområder i forbindelse med offentlig transport</w:t>
      </w:r>
      <w:r>
        <w:t>, som f.eks. busstopsteder.</w:t>
      </w:r>
    </w:p>
    <w:p w14:paraId="22EBF26E" w14:textId="388CE7C4" w:rsidR="00132F0A" w:rsidRPr="00691D8B" w:rsidRDefault="00132F0A" w:rsidP="003A0220">
      <w:pPr>
        <w:pStyle w:val="Listeafsnit"/>
        <w:numPr>
          <w:ilvl w:val="0"/>
          <w:numId w:val="31"/>
        </w:numPr>
        <w:rPr>
          <w:lang w:val="kl-GL"/>
        </w:rPr>
      </w:pPr>
      <w:r w:rsidRPr="00132F0A">
        <w:t>Det Grønlandske Sundhedsvæsen eller klinikker, private praksisser eller forretninger, som autoriserede sundhedspersoner driver eller er ansat i.</w:t>
      </w:r>
    </w:p>
    <w:p w14:paraId="5319EBE9" w14:textId="2BFFCD10" w:rsidR="006D5736" w:rsidRPr="003A0220" w:rsidRDefault="006F2FC2" w:rsidP="00C3280C">
      <w:pPr>
        <w:rPr>
          <w:b/>
          <w:bCs/>
        </w:rPr>
      </w:pPr>
      <w:r>
        <w:rPr>
          <w:b/>
          <w:bCs/>
        </w:rPr>
        <w:t>Hvilke personer må få adgang til lokalerne?</w:t>
      </w:r>
    </w:p>
    <w:p w14:paraId="6F18EDE1" w14:textId="1A2E7A0B" w:rsidR="00AD6804" w:rsidRDefault="00C3280C" w:rsidP="00C3280C">
      <w:r w:rsidRPr="00C3280C">
        <w:t>I henhold til bekendtgørelse</w:t>
      </w:r>
      <w:r w:rsidR="00036805">
        <w:t>n</w:t>
      </w:r>
      <w:r w:rsidRPr="00C3280C">
        <w:t xml:space="preserve"> må </w:t>
      </w:r>
      <w:r w:rsidR="007A001A">
        <w:t>følgende personer få adgang til lokalerne</w:t>
      </w:r>
      <w:r w:rsidR="00AD6804">
        <w:t>:</w:t>
      </w:r>
      <w:r w:rsidRPr="00C3280C">
        <w:t xml:space="preserve"> </w:t>
      </w:r>
    </w:p>
    <w:p w14:paraId="7680842D" w14:textId="721BE015" w:rsidR="00AD6804" w:rsidRDefault="007A001A" w:rsidP="00AD6804">
      <w:pPr>
        <w:pStyle w:val="Listeafsnit"/>
        <w:numPr>
          <w:ilvl w:val="0"/>
          <w:numId w:val="29"/>
        </w:numPr>
      </w:pPr>
      <w:r>
        <w:t>Personer der er</w:t>
      </w:r>
      <w:r w:rsidR="00AD6804">
        <w:t xml:space="preserve"> færdigvaccinere</w:t>
      </w:r>
      <w:r>
        <w:t>t</w:t>
      </w:r>
      <w:r w:rsidR="00AD6804">
        <w:t xml:space="preserve"> for Covid-19 og kan fremvise dokumentation for dette.</w:t>
      </w:r>
      <w:r w:rsidR="00DC4AB5">
        <w:t xml:space="preserve"> </w:t>
      </w:r>
    </w:p>
    <w:p w14:paraId="33715F2A" w14:textId="240D33B5" w:rsidR="00C3280C" w:rsidRDefault="007A001A" w:rsidP="00AD6804">
      <w:pPr>
        <w:pStyle w:val="Listeafsnit"/>
        <w:numPr>
          <w:ilvl w:val="0"/>
          <w:numId w:val="29"/>
        </w:numPr>
      </w:pPr>
      <w:r>
        <w:t>Personer der er</w:t>
      </w:r>
      <w:r w:rsidR="00AD6804">
        <w:t xml:space="preserve"> </w:t>
      </w:r>
      <w:r w:rsidR="00C3280C" w:rsidRPr="00C3280C">
        <w:t xml:space="preserve">tidligere </w:t>
      </w:r>
      <w:r w:rsidRPr="00C3280C">
        <w:t>smitte</w:t>
      </w:r>
      <w:r>
        <w:t xml:space="preserve">de </w:t>
      </w:r>
      <w:r w:rsidR="006D5736">
        <w:t>med Covid-19</w:t>
      </w:r>
      <w:r w:rsidR="00C3280C" w:rsidRPr="00C3280C">
        <w:t xml:space="preserve"> og har dokumentation herfor</w:t>
      </w:r>
      <w:r w:rsidR="006D5736">
        <w:t>.</w:t>
      </w:r>
    </w:p>
    <w:p w14:paraId="1937FDAC" w14:textId="00C2E2FB" w:rsidR="006D5736" w:rsidRDefault="007A001A" w:rsidP="00AD6804">
      <w:pPr>
        <w:pStyle w:val="Listeafsnit"/>
        <w:numPr>
          <w:ilvl w:val="0"/>
          <w:numId w:val="29"/>
        </w:numPr>
      </w:pPr>
      <w:r>
        <w:t>Personer</w:t>
      </w:r>
      <w:r w:rsidR="00A168E3">
        <w:t>,</w:t>
      </w:r>
      <w:r>
        <w:t xml:space="preserve"> der er omfattet af den gruppe</w:t>
      </w:r>
      <w:r w:rsidR="00132F0A">
        <w:t>,</w:t>
      </w:r>
      <w:r w:rsidR="006D5736">
        <w:t xml:space="preserve"> som Landslægeembedet anbefaler</w:t>
      </w:r>
      <w:r w:rsidR="00CA14D6">
        <w:t>,</w:t>
      </w:r>
      <w:r w:rsidR="006D5736">
        <w:t xml:space="preserve"> ikke lader sig vaccinere mod Covid-19 og de kan fremvise dokumentation herfor.</w:t>
      </w:r>
      <w:r w:rsidR="004076C3">
        <w:t xml:space="preserve"> </w:t>
      </w:r>
      <w:bookmarkStart w:id="1" w:name="_Hlk88467181"/>
      <w:r w:rsidR="004076C3">
        <w:t>Disse personer skal fremvise en negativ PCR-test der er mindre end 48 timer gammel.</w:t>
      </w:r>
      <w:bookmarkEnd w:id="1"/>
    </w:p>
    <w:p w14:paraId="4EBA07C0" w14:textId="6B703F3A" w:rsidR="006D5736" w:rsidRDefault="006D5736">
      <w:pPr>
        <w:pStyle w:val="Listeafsnit"/>
        <w:numPr>
          <w:ilvl w:val="0"/>
          <w:numId w:val="29"/>
        </w:numPr>
      </w:pPr>
      <w:r>
        <w:t>Persone</w:t>
      </w:r>
      <w:r w:rsidR="00132F0A">
        <w:t>r</w:t>
      </w:r>
      <w:r>
        <w:t xml:space="preserve"> </w:t>
      </w:r>
      <w:r w:rsidR="00334DC9">
        <w:t xml:space="preserve">der </w:t>
      </w:r>
      <w:r>
        <w:t>er under 2 år.</w:t>
      </w:r>
    </w:p>
    <w:p w14:paraId="360D03E0" w14:textId="2C16B782" w:rsidR="007A001A" w:rsidRDefault="007A001A" w:rsidP="007A001A">
      <w:pPr>
        <w:pStyle w:val="Listeafsnit"/>
        <w:numPr>
          <w:ilvl w:val="0"/>
          <w:numId w:val="29"/>
        </w:numPr>
      </w:pPr>
      <w:r w:rsidRPr="007A001A">
        <w:t>Ansatte</w:t>
      </w:r>
      <w:r w:rsidR="00DE4896">
        <w:t>,</w:t>
      </w:r>
      <w:r w:rsidRPr="007A001A">
        <w:t xml:space="preserve"> som </w:t>
      </w:r>
      <w:r>
        <w:t>er vaccinere</w:t>
      </w:r>
      <w:r w:rsidR="00DE4896">
        <w:t xml:space="preserve">t, og </w:t>
      </w:r>
      <w:r w:rsidRPr="007A001A">
        <w:t xml:space="preserve">skal udføre deres arbejde i det pågældende lokale eller tilhørende areal. </w:t>
      </w:r>
    </w:p>
    <w:p w14:paraId="2FDA2520" w14:textId="5F77BC4F" w:rsidR="00DE4896" w:rsidRPr="00DE4896" w:rsidRDefault="00DE4896" w:rsidP="00DE4896">
      <w:pPr>
        <w:pStyle w:val="Listeafsnit"/>
        <w:numPr>
          <w:ilvl w:val="0"/>
          <w:numId w:val="29"/>
        </w:numPr>
      </w:pPr>
      <w:r w:rsidRPr="00DE4896">
        <w:t xml:space="preserve">Ansatte, som </w:t>
      </w:r>
      <w:r>
        <w:t xml:space="preserve">ikke </w:t>
      </w:r>
      <w:r w:rsidRPr="00DE4896">
        <w:t>er vaccineret, og skal udføre deres arbejde i det pågældende lokale eller tilhørende areal. Disse personer skal fremvise en negativ PCR-test, der er mindre end 48 timer gammel.</w:t>
      </w:r>
    </w:p>
    <w:p w14:paraId="71458F03" w14:textId="77777777" w:rsidR="00DE4896" w:rsidRPr="00C3280C" w:rsidRDefault="00DE4896" w:rsidP="003A0220">
      <w:pPr>
        <w:pStyle w:val="Listeafsnit"/>
      </w:pPr>
    </w:p>
    <w:p w14:paraId="36442B46" w14:textId="0C9EF31C" w:rsidR="007D5D86" w:rsidRPr="007D5D86" w:rsidRDefault="007D5D86" w:rsidP="007D5D86">
      <w:pPr>
        <w:rPr>
          <w:lang w:val="kl-GL"/>
        </w:rPr>
      </w:pPr>
      <w:r w:rsidRPr="007D5D86">
        <w:rPr>
          <w:lang w:val="kl-GL"/>
        </w:rPr>
        <w:t>Virksomheder</w:t>
      </w:r>
      <w:r w:rsidR="00881CCF">
        <w:rPr>
          <w:lang w:val="kl-GL"/>
        </w:rPr>
        <w:t xml:space="preserve"> og institutioner</w:t>
      </w:r>
      <w:r w:rsidR="003A35C7">
        <w:rPr>
          <w:lang w:val="kl-GL"/>
        </w:rPr>
        <w:t>,</w:t>
      </w:r>
      <w:r w:rsidR="00352CA8">
        <w:rPr>
          <w:lang w:val="kl-GL"/>
        </w:rPr>
        <w:t xml:space="preserve"> der har rådigheden over lokaler</w:t>
      </w:r>
      <w:r w:rsidRPr="007D5D86">
        <w:rPr>
          <w:lang w:val="kl-GL"/>
        </w:rPr>
        <w:t>, hvor offentligheden har adgang, har e</w:t>
      </w:r>
      <w:r w:rsidR="00881CCF">
        <w:rPr>
          <w:lang w:val="kl-GL"/>
        </w:rPr>
        <w:t>n vigtig rolle</w:t>
      </w:r>
      <w:r w:rsidRPr="007D5D86">
        <w:rPr>
          <w:lang w:val="kl-GL"/>
        </w:rPr>
        <w:t xml:space="preserve"> ift. at </w:t>
      </w:r>
      <w:r w:rsidR="00881CCF">
        <w:rPr>
          <w:lang w:val="kl-GL"/>
        </w:rPr>
        <w:t xml:space="preserve">medvirke til at </w:t>
      </w:r>
      <w:r w:rsidRPr="007D5D86">
        <w:rPr>
          <w:lang w:val="kl-GL"/>
        </w:rPr>
        <w:t xml:space="preserve">sikre den nødvendige hensynstagen til at smittespredningen med Covid-19 minimeres. </w:t>
      </w:r>
    </w:p>
    <w:p w14:paraId="703CE376" w14:textId="0F34D23B" w:rsidR="007D5D86" w:rsidRPr="007D5D86" w:rsidRDefault="007D5D86" w:rsidP="007D5D86">
      <w:r w:rsidRPr="007D5D86">
        <w:t xml:space="preserve">For at forebygge og inddæmme udbredelse af </w:t>
      </w:r>
      <w:r w:rsidR="003A35C7">
        <w:t>C</w:t>
      </w:r>
      <w:r w:rsidRPr="007D5D86">
        <w:t>ovid-19 skal kunder</w:t>
      </w:r>
      <w:r w:rsidR="0014283E">
        <w:t xml:space="preserve"> og</w:t>
      </w:r>
      <w:r w:rsidRPr="007D5D86">
        <w:t xml:space="preserve"> besøgende i visse lokaler og tilhørende arealer, hvortil offentligheden har adgang, kunne fremvise </w:t>
      </w:r>
      <w:r w:rsidR="00A168E3">
        <w:t xml:space="preserve">gyldig </w:t>
      </w:r>
      <w:r w:rsidRPr="007D5D86">
        <w:t>dokumentation</w:t>
      </w:r>
      <w:r w:rsidR="00A168E3">
        <w:t>.</w:t>
      </w:r>
      <w:r w:rsidRPr="007D5D86">
        <w:t xml:space="preserve"> Dokumentationen skal forevises til personale eller andre personer tilknyttet stedet. Der stilles ikke krav om, at stedet skal have særlig</w:t>
      </w:r>
      <w:r w:rsidR="003A35C7">
        <w:t>t personale, som alene varetager denne opgave</w:t>
      </w:r>
      <w:r w:rsidRPr="007D5D86">
        <w:t>.</w:t>
      </w:r>
      <w:r w:rsidR="001A6764">
        <w:t xml:space="preserve"> </w:t>
      </w:r>
    </w:p>
    <w:p w14:paraId="6AEF0732" w14:textId="78AB3949" w:rsidR="007D5D86" w:rsidRPr="007D5D86" w:rsidRDefault="001A6764" w:rsidP="007D5D86">
      <w:r>
        <w:t>De erhvervsdrivende og de ansatte</w:t>
      </w:r>
      <w:r w:rsidR="007D5D86" w:rsidRPr="007D5D86">
        <w:t>, herunder offentlige myndigheder og institutioner, som har rådighed over lokaler, har</w:t>
      </w:r>
      <w:r w:rsidR="00352CA8">
        <w:t xml:space="preserve"> ret</w:t>
      </w:r>
      <w:r w:rsidR="007D5D86" w:rsidRPr="007D5D86">
        <w:t xml:space="preserve"> til at anmode kunder</w:t>
      </w:r>
      <w:r w:rsidR="0014283E">
        <w:t xml:space="preserve"> og</w:t>
      </w:r>
      <w:r w:rsidR="007D5D86" w:rsidRPr="007D5D86">
        <w:t xml:space="preserve"> besøgende</w:t>
      </w:r>
      <w:r w:rsidR="006F2FC2">
        <w:t xml:space="preserve"> </w:t>
      </w:r>
      <w:r w:rsidR="007D5D86" w:rsidRPr="007D5D86">
        <w:t xml:space="preserve">om dokumentation for </w:t>
      </w:r>
      <w:r w:rsidR="00352CA8">
        <w:t xml:space="preserve">deres </w:t>
      </w:r>
      <w:r w:rsidR="007D5D86" w:rsidRPr="007D5D86">
        <w:t xml:space="preserve">vaccinationsstatus, og </w:t>
      </w:r>
      <w:r w:rsidR="005A4E9E">
        <w:t xml:space="preserve">skal </w:t>
      </w:r>
      <w:r w:rsidR="00691D8B">
        <w:t>sikre sig</w:t>
      </w:r>
      <w:r w:rsidR="005A4E9E">
        <w:t xml:space="preserve"> at</w:t>
      </w:r>
      <w:r w:rsidR="007D5D86" w:rsidRPr="007D5D86">
        <w:t xml:space="preserve"> kunder</w:t>
      </w:r>
      <w:r w:rsidR="00CA14D6">
        <w:t xml:space="preserve"> og</w:t>
      </w:r>
      <w:r w:rsidR="00CA14D6" w:rsidRPr="007D5D86">
        <w:t xml:space="preserve"> </w:t>
      </w:r>
      <w:r w:rsidR="007D5D86" w:rsidRPr="007D5D86">
        <w:t>besøgende</w:t>
      </w:r>
      <w:r w:rsidR="00CA14D6">
        <w:t>,</w:t>
      </w:r>
      <w:r w:rsidR="007D5D86" w:rsidRPr="007D5D86">
        <w:t xml:space="preserve"> </w:t>
      </w:r>
      <w:r w:rsidR="00B5787F">
        <w:t>som ikke kan fremvise dokumentation for, at de er færdigvaccineret mod Covid-19</w:t>
      </w:r>
      <w:r w:rsidR="00285EF5">
        <w:t xml:space="preserve"> eller opfylder mindst én af de øvrige betingelser,</w:t>
      </w:r>
      <w:r w:rsidR="007D5D86" w:rsidRPr="007D5D86">
        <w:t xml:space="preserve"> ikke får adgang til stedet.</w:t>
      </w:r>
    </w:p>
    <w:p w14:paraId="3AF37BA4" w14:textId="0C4146DA" w:rsidR="00C3280C" w:rsidRDefault="004D033A" w:rsidP="003A0220">
      <w:pPr>
        <w:pStyle w:val="Overskrift2"/>
        <w:rPr>
          <w:color w:val="1F3763" w:themeColor="accent1" w:themeShade="7F"/>
          <w:sz w:val="24"/>
          <w:szCs w:val="24"/>
        </w:rPr>
      </w:pPr>
      <w:r>
        <w:t>Sikring af dokumentationskrav</w:t>
      </w:r>
    </w:p>
    <w:p w14:paraId="6CAEB8F0" w14:textId="61A04D7E" w:rsidR="0066296A" w:rsidRDefault="00C3280C" w:rsidP="007D5D86">
      <w:pPr>
        <w:keepNext/>
        <w:keepLines/>
        <w:spacing w:before="40" w:after="0"/>
        <w:outlineLvl w:val="2"/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</w:rPr>
      </w:pPr>
      <w:r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</w:rPr>
        <w:t>Generel information ved indgang:</w:t>
      </w:r>
    </w:p>
    <w:p w14:paraId="5DC9CB64" w14:textId="6FCB78EE" w:rsidR="00935B5E" w:rsidRPr="007D5D86" w:rsidRDefault="00935B5E" w:rsidP="003A0220">
      <w:r>
        <w:t xml:space="preserve">Vi anbefaler at der opsættes det følgende: </w:t>
      </w:r>
    </w:p>
    <w:p w14:paraId="22D33000" w14:textId="6B77AE07" w:rsidR="007D5D86" w:rsidRPr="007D5D86" w:rsidRDefault="007D5D86" w:rsidP="007D5D86">
      <w:pPr>
        <w:numPr>
          <w:ilvl w:val="0"/>
          <w:numId w:val="23"/>
        </w:numPr>
      </w:pPr>
      <w:r w:rsidRPr="007D5D86">
        <w:t>T</w:t>
      </w:r>
      <w:r w:rsidR="00CB76D8" w:rsidRPr="007D5D86">
        <w:t>ydelig information ved indgangen til lokalet</w:t>
      </w:r>
      <w:r w:rsidR="00D04F72">
        <w:t xml:space="preserve">, som angiver </w:t>
      </w:r>
      <w:r w:rsidR="00CB76D8" w:rsidRPr="007D5D86">
        <w:t>at</w:t>
      </w:r>
      <w:r w:rsidR="00D04F72">
        <w:t xml:space="preserve"> kun </w:t>
      </w:r>
      <w:r w:rsidR="00CB76D8" w:rsidRPr="007D5D86">
        <w:t>personer</w:t>
      </w:r>
      <w:r w:rsidR="00D04F72">
        <w:t>, som kan fremvise</w:t>
      </w:r>
      <w:r w:rsidR="00DE4896">
        <w:t xml:space="preserve"> gyldig </w:t>
      </w:r>
      <w:r w:rsidR="00CB76D8" w:rsidRPr="007D5D86">
        <w:t>dokumentation</w:t>
      </w:r>
      <w:r w:rsidR="00D04F72">
        <w:t xml:space="preserve"> tillades adgang. </w:t>
      </w:r>
    </w:p>
    <w:p w14:paraId="62934FAD" w14:textId="057242E9" w:rsidR="007D5D86" w:rsidRPr="007D5D86" w:rsidRDefault="007D5D86" w:rsidP="007D5D86">
      <w:pPr>
        <w:numPr>
          <w:ilvl w:val="0"/>
          <w:numId w:val="22"/>
        </w:numPr>
      </w:pPr>
      <w:r w:rsidRPr="007D5D86">
        <w:t>Tydelig information om</w:t>
      </w:r>
      <w:r w:rsidR="00DE4896">
        <w:t>,</w:t>
      </w:r>
      <w:r w:rsidRPr="007D5D86">
        <w:t xml:space="preserve"> at kunder</w:t>
      </w:r>
      <w:r w:rsidR="00DE4896">
        <w:t xml:space="preserve"> og</w:t>
      </w:r>
      <w:r w:rsidRPr="007D5D86">
        <w:t xml:space="preserve"> besøgende skal kunne fremvise dokumentation for, at de er færdigvaccineret mod Covid-19, hvis </w:t>
      </w:r>
      <w:r w:rsidR="00DE4896">
        <w:t xml:space="preserve">de </w:t>
      </w:r>
      <w:r w:rsidRPr="007D5D86">
        <w:t>ansatte</w:t>
      </w:r>
      <w:r w:rsidR="00DE4896">
        <w:t>, politiet eller Sundhedsvæsenet</w:t>
      </w:r>
      <w:r w:rsidRPr="007D5D86">
        <w:t xml:space="preserve"> beder om dette.</w:t>
      </w:r>
    </w:p>
    <w:p w14:paraId="48648AD8" w14:textId="4C980C88" w:rsidR="006039AC" w:rsidRDefault="007D5D86" w:rsidP="007D5D86">
      <w:pPr>
        <w:numPr>
          <w:ilvl w:val="0"/>
          <w:numId w:val="22"/>
        </w:numPr>
      </w:pPr>
      <w:r w:rsidRPr="007D5D86">
        <w:t>Tydelig information om at kunder</w:t>
      </w:r>
      <w:r w:rsidR="00DE4896">
        <w:t xml:space="preserve"> og</w:t>
      </w:r>
      <w:r w:rsidRPr="007D5D86">
        <w:t xml:space="preserve"> besøgende </w:t>
      </w:r>
      <w:r w:rsidR="00CF6F45">
        <w:t>kan</w:t>
      </w:r>
      <w:r w:rsidRPr="007D5D86">
        <w:t xml:space="preserve"> bortvises ved manglende dokumentation.</w:t>
      </w:r>
    </w:p>
    <w:p w14:paraId="1825E4F1" w14:textId="0025AB41" w:rsidR="0066296A" w:rsidRDefault="0066296A" w:rsidP="003A0220">
      <w:r>
        <w:t xml:space="preserve">Plakat med ovenstående oplysninger kan hentes på: </w:t>
      </w:r>
      <w:r w:rsidR="00334DC9">
        <w:t>corona.</w:t>
      </w:r>
      <w:r>
        <w:t xml:space="preserve">nun.gl </w:t>
      </w:r>
    </w:p>
    <w:p w14:paraId="103FB854" w14:textId="6A32C567" w:rsidR="00C3280C" w:rsidRDefault="00C3280C" w:rsidP="00B910C4">
      <w:pPr>
        <w:pStyle w:val="Overskrift3"/>
      </w:pPr>
      <w:r>
        <w:lastRenderedPageBreak/>
        <w:t>Gældende for serveringssteder</w:t>
      </w:r>
    </w:p>
    <w:p w14:paraId="778F2C7A" w14:textId="20CF86D1" w:rsidR="00C3280C" w:rsidRDefault="00C3280C" w:rsidP="00C3280C">
      <w:r>
        <w:t>Ved serveringssteder forstås steder, hvor der serveres mad- eller drikkevare</w:t>
      </w:r>
      <w:r w:rsidR="00763800">
        <w:t>r</w:t>
      </w:r>
      <w:r>
        <w:t>, herunder r</w:t>
      </w:r>
      <w:r w:rsidRPr="001411C1">
        <w:t>estauranter, cafeer, værtshuse, diskoteker og lignende samt deres tilhørende udearealer.</w:t>
      </w:r>
    </w:p>
    <w:p w14:paraId="0252AC26" w14:textId="6F2CE7E3" w:rsidR="00C3280C" w:rsidRDefault="00C3280C" w:rsidP="00C3280C">
      <w:r>
        <w:t xml:space="preserve">På serveringssteder, hvor der almindeligvis er vagtpersonale ved indgangen, </w:t>
      </w:r>
      <w:r w:rsidR="00334DC9">
        <w:t>kan</w:t>
      </w:r>
      <w:r>
        <w:t xml:space="preserve"> kontrollen ske inden kunden tillades adgang til serveringsstedet. Såfremt der almindeligvis er personale, som henviser til bord, tager imod overtøj eller lignende, </w:t>
      </w:r>
      <w:r w:rsidR="00334DC9">
        <w:t xml:space="preserve">kan </w:t>
      </w:r>
      <w:r>
        <w:t>kontrollen</w:t>
      </w:r>
      <w:r w:rsidR="00334DC9">
        <w:t xml:space="preserve"> med fordel</w:t>
      </w:r>
      <w:r>
        <w:t xml:space="preserve"> ske i denne forbindelse og således inden serveringen. På alle andre serveringssteder </w:t>
      </w:r>
      <w:r w:rsidR="00334DC9">
        <w:t>vil det være hensigtsmæssigt at</w:t>
      </w:r>
      <w:r>
        <w:t xml:space="preserve"> kontrollen ske</w:t>
      </w:r>
      <w:r w:rsidR="00334DC9">
        <w:t>r</w:t>
      </w:r>
      <w:r>
        <w:t xml:space="preserve"> snarest muligt og senest ved </w:t>
      </w:r>
      <w:r w:rsidR="00C71D76">
        <w:t xml:space="preserve">bestilling </w:t>
      </w:r>
      <w:r>
        <w:t xml:space="preserve">af mad eller drikke. </w:t>
      </w:r>
    </w:p>
    <w:p w14:paraId="5E1EDC82" w14:textId="6D264239" w:rsidR="00C3280C" w:rsidRDefault="00C71D76" w:rsidP="00B910C4">
      <w:pPr>
        <w:pStyle w:val="Overskrift3"/>
      </w:pPr>
      <w:r>
        <w:t>Gældende for k</w:t>
      </w:r>
      <w:r w:rsidR="00C3280C">
        <w:t>ulturinstitutioner</w:t>
      </w:r>
    </w:p>
    <w:p w14:paraId="60FE4376" w14:textId="3ABFD426" w:rsidR="00C3280C" w:rsidRDefault="00C3280C" w:rsidP="00C3280C">
      <w:bookmarkStart w:id="2" w:name="_Hlk88220231"/>
      <w:r>
        <w:t>Ved k</w:t>
      </w:r>
      <w:r w:rsidRPr="001411C1">
        <w:t>ulturinstitutioner</w:t>
      </w:r>
      <w:r>
        <w:t xml:space="preserve"> forstås steder, hvor medier og kultur kan opleves, herunder </w:t>
      </w:r>
      <w:r w:rsidRPr="001411C1">
        <w:t xml:space="preserve">kulturhuse, </w:t>
      </w:r>
      <w:r>
        <w:t xml:space="preserve">kirker, </w:t>
      </w:r>
      <w:r w:rsidRPr="001411C1">
        <w:t>biografer, museer</w:t>
      </w:r>
      <w:r w:rsidR="008C5AC9">
        <w:t>,</w:t>
      </w:r>
      <w:r w:rsidRPr="001411C1">
        <w:t xml:space="preserve"> udstillingshaller</w:t>
      </w:r>
      <w:r>
        <w:t xml:space="preserve"> og lignende.</w:t>
      </w:r>
    </w:p>
    <w:p w14:paraId="5CFB6CB9" w14:textId="3E09F72E" w:rsidR="00C3280C" w:rsidRDefault="00C71D76" w:rsidP="00C3280C">
      <w:bookmarkStart w:id="3" w:name="_Hlk88220922"/>
      <w:r>
        <w:t>På</w:t>
      </w:r>
      <w:r w:rsidR="00C3280C">
        <w:t xml:space="preserve"> kulturinstitutioner, hvor der almindeligvis er vagtpersonale ved indgangen, </w:t>
      </w:r>
      <w:r w:rsidR="002E6F7F">
        <w:t>kan</w:t>
      </w:r>
      <w:r w:rsidR="00C3280C">
        <w:t xml:space="preserve"> kontrollen ske inden kunden tillades adgang til kulturinstitutionen. Såfremt der almindeligvis er personale, som </w:t>
      </w:r>
      <w:r w:rsidR="00285EF5">
        <w:t xml:space="preserve">kontrollerer adgang, </w:t>
      </w:r>
      <w:r w:rsidR="00C3280C">
        <w:t>sælger billetter, tager imod overtøj eller ligne</w:t>
      </w:r>
      <w:r w:rsidR="00AD1B6E">
        <w:t>n</w:t>
      </w:r>
      <w:r w:rsidR="00C3280C">
        <w:t xml:space="preserve">de, </w:t>
      </w:r>
      <w:r w:rsidR="002E6F7F">
        <w:t xml:space="preserve">kan </w:t>
      </w:r>
      <w:r w:rsidR="00C3280C">
        <w:t>kontrollen ske i denne forbindelse og således inden kulturoplevelsen</w:t>
      </w:r>
      <w:r w:rsidR="00AD1B6E">
        <w:t>s</w:t>
      </w:r>
      <w:r w:rsidR="00C3280C">
        <w:t xml:space="preserve"> begyndelse. </w:t>
      </w:r>
    </w:p>
    <w:bookmarkEnd w:id="2"/>
    <w:bookmarkEnd w:id="3"/>
    <w:p w14:paraId="3486CF6C" w14:textId="658322D2" w:rsidR="00C3280C" w:rsidRDefault="00C71D76" w:rsidP="00B910C4">
      <w:pPr>
        <w:pStyle w:val="Overskrift3"/>
      </w:pPr>
      <w:r>
        <w:t>Gældende for f</w:t>
      </w:r>
      <w:r w:rsidRPr="00C71D76">
        <w:t>risører, massører, skønhedsklinikker og lignende</w:t>
      </w:r>
    </w:p>
    <w:p w14:paraId="3EE6C1EA" w14:textId="32869493" w:rsidR="00C71D76" w:rsidRPr="00C71D76" w:rsidRDefault="00C71D76" w:rsidP="00C71D76">
      <w:r w:rsidRPr="00C71D76">
        <w:t xml:space="preserve">Ved frisører, massører, skønhedsklinikker og lignende forstås steder, hvor </w:t>
      </w:r>
      <w:r>
        <w:t>kunder kommer og får en serviceydelse</w:t>
      </w:r>
      <w:r w:rsidRPr="00C71D76">
        <w:t>.</w:t>
      </w:r>
    </w:p>
    <w:p w14:paraId="35A9F976" w14:textId="0718FAC2" w:rsidR="00C71D76" w:rsidRPr="00C71D76" w:rsidRDefault="00C71D76" w:rsidP="00C71D76">
      <w:r w:rsidRPr="00C71D76">
        <w:t xml:space="preserve">Såfremt der almindeligvis er personale, </w:t>
      </w:r>
      <w:r w:rsidR="008C5AC9">
        <w:t xml:space="preserve">der </w:t>
      </w:r>
      <w:r w:rsidR="00572B74">
        <w:t>modtager</w:t>
      </w:r>
      <w:r w:rsidR="008C5AC9">
        <w:t xml:space="preserve"> </w:t>
      </w:r>
      <w:r w:rsidR="00935B5E">
        <w:t xml:space="preserve">kunden, </w:t>
      </w:r>
      <w:r w:rsidR="00786FDD">
        <w:t>kan</w:t>
      </w:r>
      <w:r w:rsidR="00935B5E">
        <w:t xml:space="preserve"> kontrollen ske i denne forbindelse. Ellers </w:t>
      </w:r>
      <w:r w:rsidR="00786FDD">
        <w:t>bør</w:t>
      </w:r>
      <w:r w:rsidR="00935B5E">
        <w:t xml:space="preserve"> kontrollen ske senest</w:t>
      </w:r>
      <w:r w:rsidR="008C5AC9">
        <w:t xml:space="preserve"> inden servicen udføres</w:t>
      </w:r>
      <w:r w:rsidR="00935B5E">
        <w:t>.</w:t>
      </w:r>
      <w:r w:rsidRPr="00C71D76">
        <w:t xml:space="preserve"> </w:t>
      </w:r>
    </w:p>
    <w:p w14:paraId="32D03063" w14:textId="2B691159" w:rsidR="00C3280C" w:rsidRPr="001411C1" w:rsidRDefault="008C5AC9" w:rsidP="00B910C4">
      <w:pPr>
        <w:pStyle w:val="Overskrift3"/>
      </w:pPr>
      <w:r>
        <w:t xml:space="preserve">Gældende i </w:t>
      </w:r>
      <w:r w:rsidR="00C3280C">
        <w:t>andre</w:t>
      </w:r>
      <w:r w:rsidR="00861DE0">
        <w:t xml:space="preserve"> offentlige lokaler og tilhørende arealer</w:t>
      </w:r>
      <w:r w:rsidR="00C3280C">
        <w:t xml:space="preserve"> </w:t>
      </w:r>
    </w:p>
    <w:p w14:paraId="77DD0ABF" w14:textId="15976046" w:rsidR="00C3280C" w:rsidRDefault="00A95339" w:rsidP="00C3280C">
      <w:r>
        <w:t>M</w:t>
      </w:r>
      <w:r w:rsidR="00C3280C" w:rsidRPr="001411C1">
        <w:t>edborgerhuse</w:t>
      </w:r>
      <w:r w:rsidR="008C5AC9">
        <w:t xml:space="preserve">, biblioteker, indendørs- og udendørs </w:t>
      </w:r>
      <w:r w:rsidR="008C5AC9" w:rsidRPr="008C5AC9">
        <w:t>idrætsfaciliteter – herunder bl.a. idrætslokaler og idrætshaller, svømmehaller, fitnesscentre samt fodboldbaner</w:t>
      </w:r>
      <w:r>
        <w:t xml:space="preserve"> og lignende lokaler</w:t>
      </w:r>
      <w:r w:rsidR="0066296A">
        <w:t>,</w:t>
      </w:r>
      <w:r>
        <w:t xml:space="preserve"> hvortil offentligheden har adgang</w:t>
      </w:r>
      <w:r w:rsidR="0066296A">
        <w:t>,</w:t>
      </w:r>
      <w:r>
        <w:t xml:space="preserve"> er ligeledes omfattet af bekendtgørelsens anvendelsesområde. Bemærk at listen således ikke er </w:t>
      </w:r>
      <w:r w:rsidR="008C5AC9" w:rsidRPr="008C5AC9">
        <w:t>udtømmend</w:t>
      </w:r>
      <w:r>
        <w:t xml:space="preserve">e. </w:t>
      </w:r>
      <w:r w:rsidDel="00A95339">
        <w:t xml:space="preserve"> </w:t>
      </w:r>
    </w:p>
    <w:p w14:paraId="659E92FE" w14:textId="0E968A46" w:rsidR="00AC51E4" w:rsidRDefault="00A95339" w:rsidP="00C3280C">
      <w:r>
        <w:t>I lokaler</w:t>
      </w:r>
      <w:r w:rsidR="008C5AC9" w:rsidRPr="008C5AC9">
        <w:t xml:space="preserve">, hvor der almindeligvis er personale ved indgangen, </w:t>
      </w:r>
      <w:r w:rsidR="00786FDD">
        <w:t>kan</w:t>
      </w:r>
      <w:r w:rsidR="008C5AC9" w:rsidRPr="008C5AC9">
        <w:t xml:space="preserve"> kontrollen ske inden kunden</w:t>
      </w:r>
      <w:r>
        <w:t>/brugeren</w:t>
      </w:r>
      <w:r w:rsidR="008C5AC9" w:rsidRPr="008C5AC9">
        <w:t xml:space="preserve"> tillades adgang til </w:t>
      </w:r>
      <w:r>
        <w:t xml:space="preserve">lokalet. </w:t>
      </w:r>
      <w:r w:rsidR="008C5AC9" w:rsidRPr="008C5AC9">
        <w:t xml:space="preserve">Såfremt der almindeligvis er personale, som sælger billetter, tager imod overtøj eller lignede, </w:t>
      </w:r>
      <w:r w:rsidR="00701527">
        <w:t>kan</w:t>
      </w:r>
      <w:r w:rsidR="008C5AC9" w:rsidRPr="008C5AC9">
        <w:t xml:space="preserve"> kontrollen ske i denne forbindelse og således inden </w:t>
      </w:r>
      <w:r>
        <w:t>formålet med besøgets</w:t>
      </w:r>
      <w:r w:rsidR="008C5AC9" w:rsidRPr="008C5AC9">
        <w:t xml:space="preserve"> begyndelse.</w:t>
      </w:r>
      <w:r w:rsidR="005C309F">
        <w:t xml:space="preserve"> Såfremt stedet ikke</w:t>
      </w:r>
      <w:r>
        <w:t xml:space="preserve"> er bemandet </w:t>
      </w:r>
      <w:r w:rsidR="005C309F">
        <w:t>i</w:t>
      </w:r>
      <w:r>
        <w:t xml:space="preserve"> hele</w:t>
      </w:r>
      <w:r w:rsidR="005C309F">
        <w:t xml:space="preserve"> stedets åbningstid, </w:t>
      </w:r>
      <w:r w:rsidR="00701527">
        <w:t>kan</w:t>
      </w:r>
      <w:r w:rsidR="005C309F">
        <w:t xml:space="preserve"> kontrollen</w:t>
      </w:r>
      <w:r w:rsidR="009A0A66">
        <w:t xml:space="preserve"> som beskrevet ovenfor,</w:t>
      </w:r>
      <w:r w:rsidR="005C309F">
        <w:t xml:space="preserve"> </w:t>
      </w:r>
      <w:r w:rsidR="00AD795B">
        <w:t xml:space="preserve">ske </w:t>
      </w:r>
      <w:r w:rsidR="005C309F">
        <w:t xml:space="preserve">i </w:t>
      </w:r>
      <w:r w:rsidR="009A0A66">
        <w:t>den periode, hvor stedet er bemandet</w:t>
      </w:r>
      <w:r w:rsidR="00AD795B">
        <w:t>.</w:t>
      </w:r>
    </w:p>
    <w:p w14:paraId="3AFD255C" w14:textId="7D591490" w:rsidR="00B935FC" w:rsidRPr="00C71D76" w:rsidRDefault="005C309F" w:rsidP="00B935FC">
      <w:r w:rsidRPr="0014283E">
        <w:t>I perioden</w:t>
      </w:r>
      <w:r w:rsidR="0066296A" w:rsidRPr="0014283E">
        <w:t>,</w:t>
      </w:r>
      <w:r w:rsidRPr="0014283E">
        <w:t xml:space="preserve"> hvor stedet er </w:t>
      </w:r>
      <w:r w:rsidR="003F3D44" w:rsidRPr="003A0220">
        <w:t xml:space="preserve">åbent og </w:t>
      </w:r>
      <w:r w:rsidRPr="0014283E">
        <w:t>ubemandet</w:t>
      </w:r>
      <w:r w:rsidR="00AE3C7C" w:rsidRPr="0014283E">
        <w:t>,</w:t>
      </w:r>
      <w:r w:rsidRPr="0014283E">
        <w:t xml:space="preserve"> </w:t>
      </w:r>
      <w:r w:rsidR="00701527" w:rsidRPr="003A0220">
        <w:t>skal</w:t>
      </w:r>
      <w:r w:rsidR="00701527" w:rsidRPr="0014283E">
        <w:t xml:space="preserve"> </w:t>
      </w:r>
      <w:r w:rsidRPr="0014283E">
        <w:t xml:space="preserve">der </w:t>
      </w:r>
      <w:r w:rsidR="00AE3C7C" w:rsidRPr="0014283E">
        <w:t xml:space="preserve">foretages stikprøvekontrol </w:t>
      </w:r>
      <w:r w:rsidR="00701527" w:rsidRPr="003A0220">
        <w:t>så ofte som nødvendigt hvilket</w:t>
      </w:r>
      <w:r w:rsidR="002E6F7F" w:rsidRPr="003A0220">
        <w:t xml:space="preserve"> ofte</w:t>
      </w:r>
      <w:r w:rsidR="00701527" w:rsidRPr="003A0220">
        <w:t xml:space="preserve"> </w:t>
      </w:r>
      <w:r w:rsidR="002E6F7F" w:rsidRPr="003A0220">
        <w:t xml:space="preserve">vil være </w:t>
      </w:r>
      <w:r w:rsidR="00AE3C7C" w:rsidRPr="0014283E">
        <w:t xml:space="preserve">mindst </w:t>
      </w:r>
      <w:r w:rsidR="00701527" w:rsidRPr="003A0220">
        <w:t>2</w:t>
      </w:r>
      <w:r w:rsidR="00AE3C7C" w:rsidRPr="0014283E">
        <w:t xml:space="preserve"> gang</w:t>
      </w:r>
      <w:r w:rsidR="00701527" w:rsidRPr="003A0220">
        <w:t>e</w:t>
      </w:r>
      <w:r w:rsidR="00AE3C7C" w:rsidRPr="0014283E">
        <w:t xml:space="preserve"> i døgnet</w:t>
      </w:r>
      <w:r w:rsidR="009263A5" w:rsidRPr="0014283E">
        <w:t xml:space="preserve">. I disse tilfælde </w:t>
      </w:r>
      <w:r w:rsidR="002E6F7F" w:rsidRPr="003A0220">
        <w:t>kan</w:t>
      </w:r>
      <w:r w:rsidR="009263A5" w:rsidRPr="0014283E">
        <w:t xml:space="preserve"> der føres log</w:t>
      </w:r>
      <w:r w:rsidR="002E6F7F" w:rsidRPr="003A0220">
        <w:t>bog</w:t>
      </w:r>
      <w:r w:rsidR="009263A5" w:rsidRPr="0014283E">
        <w:t xml:space="preserve"> over</w:t>
      </w:r>
      <w:r w:rsidR="002E6F7F" w:rsidRPr="003A0220">
        <w:t xml:space="preserve"> f.eks.</w:t>
      </w:r>
      <w:r w:rsidR="00935B5E" w:rsidRPr="003A0220">
        <w:t>,</w:t>
      </w:r>
      <w:r w:rsidR="009263A5" w:rsidRPr="0014283E">
        <w:t xml:space="preserve"> hvem der har foretaget stikprøven, hvornår den blev foretaget, andelen af kunder/brugere, som blev kontrolleret, antallet af kunder/brugere, som blev kontrolleret samt resultatet af stikprøven.</w:t>
      </w:r>
      <w:r w:rsidR="002E6F7F" w:rsidRPr="0014283E">
        <w:t xml:space="preserve"> Dette med henblik på at kunne dokumentere at man har udført en passende kontrol.</w:t>
      </w:r>
    </w:p>
    <w:p w14:paraId="1C8F04C1" w14:textId="6BFFDADE" w:rsidR="00B935FC" w:rsidRDefault="00B935FC" w:rsidP="00B935FC">
      <w:pPr>
        <w:pStyle w:val="Overskrift3"/>
      </w:pPr>
      <w:r>
        <w:t>Kontrol af ansatte</w:t>
      </w:r>
    </w:p>
    <w:p w14:paraId="517C55CF" w14:textId="591AEC9A" w:rsidR="00B935FC" w:rsidRPr="00B935FC" w:rsidRDefault="002E6F7F" w:rsidP="003A0220">
      <w:r>
        <w:t>Der skal ligeledes ske tilstrækkelig kontrol af de ansatte</w:t>
      </w:r>
      <w:r w:rsidR="00B935FC">
        <w:t xml:space="preserve"> at de har dokumentation for en negativ PCR-test, som er mindre end 48 timer gammel</w:t>
      </w:r>
      <w:r>
        <w:t>, hvis de ikke er færdigvaccineret eller omfattet af øvrige undtagelsesbestemmelser</w:t>
      </w:r>
      <w:r w:rsidR="00B935FC">
        <w:t>.</w:t>
      </w:r>
    </w:p>
    <w:p w14:paraId="7281CDCD" w14:textId="77777777" w:rsidR="007D5D86" w:rsidRPr="007D5D86" w:rsidRDefault="007D5D86" w:rsidP="007D5D86">
      <w:pPr>
        <w:keepNext/>
        <w:keepLines/>
        <w:spacing w:before="40" w:after="0"/>
        <w:outlineLvl w:val="3"/>
        <w:rPr>
          <w:rFonts w:asciiTheme="majorHAnsi" w:eastAsiaTheme="majorEastAsia" w:hAnsiTheme="majorHAnsi" w:cstheme="majorBidi"/>
          <w:i/>
          <w:iCs/>
          <w:color w:val="2F5496" w:themeColor="accent1" w:themeShade="BF"/>
        </w:rPr>
      </w:pPr>
      <w:r w:rsidRPr="007D5D86">
        <w:rPr>
          <w:rFonts w:asciiTheme="majorHAnsi" w:eastAsiaTheme="majorEastAsia" w:hAnsiTheme="majorHAnsi" w:cstheme="majorBidi"/>
          <w:i/>
          <w:iCs/>
          <w:color w:val="2F5496" w:themeColor="accent1" w:themeShade="BF"/>
        </w:rPr>
        <w:lastRenderedPageBreak/>
        <w:t>Følgende personer er undtaget fra kravet for fremvisning af dokumentation:</w:t>
      </w:r>
    </w:p>
    <w:p w14:paraId="78C1283B" w14:textId="578DD95A" w:rsidR="007D5D86" w:rsidRPr="007D5D86" w:rsidRDefault="007D5D86" w:rsidP="007D5D86">
      <w:pPr>
        <w:keepNext/>
        <w:keepLines/>
        <w:numPr>
          <w:ilvl w:val="0"/>
          <w:numId w:val="24"/>
        </w:numPr>
        <w:spacing w:before="40" w:after="0"/>
        <w:outlineLvl w:val="2"/>
      </w:pPr>
      <w:bookmarkStart w:id="4" w:name="_Hlk88465812"/>
      <w:r w:rsidRPr="007D5D86">
        <w:t>Personer der af Landslægeembedet anbefales ikke at blive vaccineret mod Covid-19</w:t>
      </w:r>
      <w:bookmarkEnd w:id="4"/>
      <w:r w:rsidR="003A35C7">
        <w:t xml:space="preserve">. Disse personer skal fremvise dokumentation </w:t>
      </w:r>
      <w:r w:rsidRPr="007D5D86">
        <w:t xml:space="preserve">herfor. </w:t>
      </w:r>
      <w:r w:rsidR="00AD795B" w:rsidRPr="003A0220">
        <w:t>Disse personer skal fremvise en negativ PCR-test der er mindre end 48 timer gammel.</w:t>
      </w:r>
    </w:p>
    <w:p w14:paraId="25315BE4" w14:textId="29C30219" w:rsidR="007D5D86" w:rsidRPr="007D5D86" w:rsidRDefault="007D5D86" w:rsidP="007D5D86">
      <w:pPr>
        <w:keepNext/>
        <w:keepLines/>
        <w:numPr>
          <w:ilvl w:val="0"/>
          <w:numId w:val="24"/>
        </w:numPr>
        <w:spacing w:before="40" w:after="0"/>
        <w:outlineLvl w:val="2"/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</w:rPr>
      </w:pPr>
      <w:r w:rsidRPr="007D5D86">
        <w:t xml:space="preserve">Personer der er </w:t>
      </w:r>
      <w:r w:rsidR="003A35C7">
        <w:t xml:space="preserve">under </w:t>
      </w:r>
      <w:r w:rsidRPr="007D5D86">
        <w:t>2 år</w:t>
      </w:r>
      <w:r w:rsidR="003A35C7">
        <w:t>.</w:t>
      </w:r>
      <w:r w:rsidRPr="007D5D86">
        <w:t xml:space="preserve"> </w:t>
      </w:r>
    </w:p>
    <w:p w14:paraId="719F086D" w14:textId="77777777" w:rsidR="007D5D86" w:rsidRPr="007D5D86" w:rsidRDefault="007D5D86" w:rsidP="007D5D86">
      <w:pPr>
        <w:keepNext/>
        <w:keepLines/>
        <w:spacing w:before="40" w:after="0"/>
        <w:ind w:left="720"/>
        <w:outlineLvl w:val="2"/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</w:rPr>
      </w:pPr>
    </w:p>
    <w:p w14:paraId="7D132C30" w14:textId="39343DF1" w:rsidR="007D5D86" w:rsidRDefault="007D5D86" w:rsidP="007D5D86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 w:rsidRPr="007D5D86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Hvad anses som gyldigt dokument</w:t>
      </w:r>
      <w:r w:rsidR="00AD1B6E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ation</w:t>
      </w:r>
    </w:p>
    <w:p w14:paraId="4806317A" w14:textId="5AA2230A" w:rsidR="00F31147" w:rsidRPr="007D5D86" w:rsidRDefault="00F31147" w:rsidP="007D5D86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t>Kun personer med</w:t>
      </w:r>
      <w:r w:rsidR="002E6F7F">
        <w:t xml:space="preserve"> én</w:t>
      </w:r>
      <w:r>
        <w:t xml:space="preserve"> følgende må tillades adgang: </w:t>
      </w:r>
    </w:p>
    <w:p w14:paraId="75BDE0BA" w14:textId="54DC39A9" w:rsidR="00F31147" w:rsidRPr="007D5D86" w:rsidRDefault="007D5D86" w:rsidP="00B910C4">
      <w:pPr>
        <w:pStyle w:val="Listeafsnit"/>
        <w:numPr>
          <w:ilvl w:val="0"/>
          <w:numId w:val="25"/>
        </w:numPr>
      </w:pPr>
      <w:bookmarkStart w:id="5" w:name="_Hlk88222187"/>
      <w:r w:rsidRPr="007D5D86">
        <w:t>Coronapas</w:t>
      </w:r>
      <w:r w:rsidR="00286364">
        <w:t xml:space="preserve"> fx i app’en ”MinSundhed” og ”Coronapas”</w:t>
      </w:r>
      <w:r w:rsidR="003A35C7">
        <w:t>– enten udprintet eller i</w:t>
      </w:r>
      <w:r w:rsidRPr="007D5D86">
        <w:t xml:space="preserve"> elektronisk form</w:t>
      </w:r>
      <w:r w:rsidR="00F24219">
        <w:t xml:space="preserve"> (se bilag)</w:t>
      </w:r>
    </w:p>
    <w:p w14:paraId="272C466C" w14:textId="5840DBAF" w:rsidR="00F31147" w:rsidRPr="00286364" w:rsidRDefault="006D0A3B" w:rsidP="00B910C4">
      <w:pPr>
        <w:pStyle w:val="Listeafsnit"/>
        <w:numPr>
          <w:ilvl w:val="0"/>
          <w:numId w:val="25"/>
        </w:numPr>
      </w:pPr>
      <w:r w:rsidRPr="00286364">
        <w:t xml:space="preserve">Papirslip </w:t>
      </w:r>
      <w:r w:rsidR="007D5D86" w:rsidRPr="00286364">
        <w:t>fra vaccinationsstedet</w:t>
      </w:r>
      <w:r w:rsidR="003A35C7" w:rsidRPr="00286364">
        <w:t xml:space="preserve"> (se bilag)</w:t>
      </w:r>
    </w:p>
    <w:p w14:paraId="087255D9" w14:textId="4B38B60B" w:rsidR="00F31147" w:rsidRDefault="006D0A3B" w:rsidP="006A6FBE">
      <w:pPr>
        <w:pStyle w:val="Listeafsnit"/>
        <w:numPr>
          <w:ilvl w:val="0"/>
          <w:numId w:val="25"/>
        </w:numPr>
      </w:pPr>
      <w:r>
        <w:t>Vaccinationsattest fra Landslægeembedet</w:t>
      </w:r>
      <w:r w:rsidR="00F24219">
        <w:t xml:space="preserve"> (se bilag)</w:t>
      </w:r>
    </w:p>
    <w:p w14:paraId="36FA2776" w14:textId="42A34CCC" w:rsidR="00F31147" w:rsidRDefault="00F24219" w:rsidP="000B6EEA">
      <w:pPr>
        <w:pStyle w:val="Listeafsnit"/>
        <w:numPr>
          <w:ilvl w:val="0"/>
          <w:numId w:val="25"/>
        </w:numPr>
      </w:pPr>
      <w:r>
        <w:t>Gyldigt i</w:t>
      </w:r>
      <w:r w:rsidR="006D0A3B">
        <w:t xml:space="preserve">mmunitetsbevis fra Landslægeembedet </w:t>
      </w:r>
      <w:r>
        <w:t>(se bilag)</w:t>
      </w:r>
    </w:p>
    <w:p w14:paraId="59BEDB83" w14:textId="77777777" w:rsidR="00661213" w:rsidRDefault="003A35C7">
      <w:pPr>
        <w:pStyle w:val="Listeafsnit"/>
        <w:numPr>
          <w:ilvl w:val="0"/>
          <w:numId w:val="25"/>
        </w:numPr>
      </w:pPr>
      <w:r>
        <w:t>Dokumentation for en positiv test, som er mindst 14 dage og højest 12 uger gammel.</w:t>
      </w:r>
    </w:p>
    <w:p w14:paraId="2F7B6547" w14:textId="1F595B17" w:rsidR="00C3280C" w:rsidRPr="000277CA" w:rsidRDefault="007A001A" w:rsidP="00B910C4">
      <w:pPr>
        <w:pStyle w:val="Listeafsnit"/>
        <w:numPr>
          <w:ilvl w:val="0"/>
          <w:numId w:val="25"/>
        </w:numPr>
      </w:pPr>
      <w:r w:rsidRPr="003A0220">
        <w:t>Dokumentation for at</w:t>
      </w:r>
      <w:r w:rsidR="0066296A" w:rsidRPr="003A0220">
        <w:t xml:space="preserve"> Landslægeembedet anbefale</w:t>
      </w:r>
      <w:r w:rsidRPr="003A0220">
        <w:t>r</w:t>
      </w:r>
      <w:r w:rsidR="0066296A" w:rsidRPr="003A0220">
        <w:t xml:space="preserve"> </w:t>
      </w:r>
      <w:r w:rsidRPr="003A0220">
        <w:t xml:space="preserve">personen </w:t>
      </w:r>
      <w:r w:rsidR="0066296A" w:rsidRPr="003A0220">
        <w:t>ikke at blive vaccineret mod Covid-19</w:t>
      </w:r>
      <w:r w:rsidRPr="003A0220">
        <w:t xml:space="preserve"> og dertil</w:t>
      </w:r>
      <w:r w:rsidR="008C18A7">
        <w:t xml:space="preserve"> dokumentation for</w:t>
      </w:r>
      <w:r w:rsidRPr="003A0220">
        <w:t xml:space="preserve"> en n</w:t>
      </w:r>
      <w:r w:rsidR="00661213" w:rsidRPr="000277CA">
        <w:t>egativ PCR-test der er højst 48 timer gammel</w:t>
      </w:r>
      <w:r w:rsidR="006A0D44">
        <w:t xml:space="preserve">. </w:t>
      </w:r>
      <w:r w:rsidR="008C18A7">
        <w:t>Dokumentationen for testen er en SMS fra Peqqik</w:t>
      </w:r>
      <w:r w:rsidR="006A0D44">
        <w:t xml:space="preserve"> (se bilag).</w:t>
      </w:r>
      <w:r w:rsidR="008C18A7">
        <w:t xml:space="preserve"> </w:t>
      </w:r>
      <w:bookmarkEnd w:id="5"/>
    </w:p>
    <w:p w14:paraId="36799628" w14:textId="0BF7849D" w:rsidR="00490363" w:rsidRDefault="00F31147" w:rsidP="00F31147">
      <w:pPr>
        <w:contextualSpacing/>
      </w:pPr>
      <w:r>
        <w:t>De ovennævnte dokumenter og oplysningerne som fremgår af dem</w:t>
      </w:r>
      <w:r w:rsidR="00A63D60">
        <w:t>,</w:t>
      </w:r>
      <w:r w:rsidR="00490363">
        <w:t xml:space="preserve"> er </w:t>
      </w:r>
      <w:r>
        <w:t xml:space="preserve">fortrolige helbredsoplysninger. De fysiske og juridiske personer </w:t>
      </w:r>
      <w:r w:rsidR="00A63D60">
        <w:t xml:space="preserve">må </w:t>
      </w:r>
      <w:r>
        <w:t xml:space="preserve">således ikke opbevare, registrere eller på nogen måde </w:t>
      </w:r>
      <w:r w:rsidR="00490363">
        <w:t>gemme disse</w:t>
      </w:r>
      <w:r>
        <w:t xml:space="preserve"> oplysninger. </w:t>
      </w:r>
    </w:p>
    <w:p w14:paraId="4A55B516" w14:textId="3959C99C" w:rsidR="00490363" w:rsidRDefault="00490363" w:rsidP="00B910C4">
      <w:pPr>
        <w:pStyle w:val="Overskrift1"/>
      </w:pPr>
      <w:r>
        <w:t>Spørgsmål til vejledning</w:t>
      </w:r>
    </w:p>
    <w:p w14:paraId="11B99108" w14:textId="51966FFC" w:rsidR="009C750C" w:rsidRDefault="00C3280C" w:rsidP="007D5D86">
      <w:r>
        <w:t>Ved spørgsmål til</w:t>
      </w:r>
      <w:r w:rsidR="00490363">
        <w:t xml:space="preserve"> vejledning kan </w:t>
      </w:r>
      <w:r>
        <w:t xml:space="preserve">der </w:t>
      </w:r>
      <w:r w:rsidR="00490363">
        <w:t>rettes</w:t>
      </w:r>
      <w:r w:rsidR="00F24219">
        <w:t xml:space="preserve"> henvendelse</w:t>
      </w:r>
      <w:r w:rsidR="00490363">
        <w:t xml:space="preserve"> til </w:t>
      </w:r>
      <w:hyperlink r:id="rId9" w:history="1">
        <w:r w:rsidR="00490363" w:rsidRPr="006F0FC5">
          <w:rPr>
            <w:rStyle w:val="Hyperlink"/>
          </w:rPr>
          <w:t>pn@nanoq.gl</w:t>
        </w:r>
      </w:hyperlink>
      <w:r w:rsidR="00572B74">
        <w:t xml:space="preserve"> </w:t>
      </w:r>
    </w:p>
    <w:p w14:paraId="051DE36D" w14:textId="35571462" w:rsidR="00490363" w:rsidRDefault="009C750C" w:rsidP="007D5D86">
      <w:r>
        <w:t>V</w:t>
      </w:r>
      <w:r w:rsidR="00572B74">
        <w:t xml:space="preserve">ed spørgsmål til bekendtgørelsen kan der rettes kontakt til corona-hotline på tlf. 80 11 00 eller </w:t>
      </w:r>
      <w:hyperlink r:id="rId10" w:history="1">
        <w:r w:rsidR="00DB7E78" w:rsidRPr="00DD780A">
          <w:rPr>
            <w:rStyle w:val="Hyperlink"/>
          </w:rPr>
          <w:t>corona@nanoq.gl</w:t>
        </w:r>
      </w:hyperlink>
    </w:p>
    <w:p w14:paraId="67D4FBD1" w14:textId="4F289D55" w:rsidR="00C375F1" w:rsidRDefault="00C375F1" w:rsidP="00B910C4">
      <w:pPr>
        <w:pStyle w:val="Overskrift2"/>
      </w:pPr>
      <w:r>
        <w:t xml:space="preserve">Bilag </w:t>
      </w:r>
    </w:p>
    <w:p w14:paraId="1347CA0C" w14:textId="2AE2DA0A" w:rsidR="00C375F1" w:rsidRDefault="00C375F1" w:rsidP="00C375F1">
      <w:r>
        <w:t>Eksempel på:</w:t>
      </w:r>
    </w:p>
    <w:p w14:paraId="6BA1485C" w14:textId="7A107621" w:rsidR="00C375F1" w:rsidRDefault="00C375F1" w:rsidP="00C375F1">
      <w:pPr>
        <w:pStyle w:val="Listeafsnit"/>
        <w:numPr>
          <w:ilvl w:val="0"/>
          <w:numId w:val="27"/>
        </w:numPr>
      </w:pPr>
      <w:r>
        <w:t>Coronapas i papir</w:t>
      </w:r>
      <w:r w:rsidR="008C18A7">
        <w:t>form</w:t>
      </w:r>
    </w:p>
    <w:p w14:paraId="0654D510" w14:textId="7191C3FA" w:rsidR="00C375F1" w:rsidRDefault="00036805" w:rsidP="00C375F1">
      <w:pPr>
        <w:pStyle w:val="Listeafsnit"/>
        <w:numPr>
          <w:ilvl w:val="0"/>
          <w:numId w:val="27"/>
        </w:numPr>
      </w:pPr>
      <w:r>
        <w:t>Coronapas i e</w:t>
      </w:r>
      <w:r w:rsidR="00C375F1">
        <w:t>lektronisk form</w:t>
      </w:r>
    </w:p>
    <w:p w14:paraId="7F7E6EE5" w14:textId="77777777" w:rsidR="00C375F1" w:rsidRPr="000277CA" w:rsidRDefault="00C375F1" w:rsidP="00C375F1">
      <w:pPr>
        <w:pStyle w:val="Listeafsnit"/>
        <w:numPr>
          <w:ilvl w:val="0"/>
          <w:numId w:val="27"/>
        </w:numPr>
      </w:pPr>
      <w:r w:rsidRPr="000277CA">
        <w:t>Papirslip fra vaccinationsstedet</w:t>
      </w:r>
    </w:p>
    <w:p w14:paraId="05D253C0" w14:textId="6152092E" w:rsidR="00C375F1" w:rsidRDefault="00C375F1">
      <w:pPr>
        <w:pStyle w:val="Listeafsnit"/>
        <w:numPr>
          <w:ilvl w:val="0"/>
          <w:numId w:val="27"/>
        </w:numPr>
      </w:pPr>
      <w:r>
        <w:t xml:space="preserve">Vaccinationsattest og </w:t>
      </w:r>
      <w:r w:rsidR="008C24B9">
        <w:t>i</w:t>
      </w:r>
      <w:r>
        <w:t xml:space="preserve">mmunitetsbevis fra Landslægeembedet </w:t>
      </w:r>
    </w:p>
    <w:p w14:paraId="23370F04" w14:textId="158BAF1E" w:rsidR="00DC4AB5" w:rsidRDefault="00DC4AB5">
      <w:pPr>
        <w:pStyle w:val="Listeafsnit"/>
        <w:numPr>
          <w:ilvl w:val="0"/>
          <w:numId w:val="27"/>
        </w:numPr>
      </w:pPr>
      <w:r>
        <w:t>SMS fra Peqqik</w:t>
      </w:r>
      <w:r w:rsidR="008C18A7">
        <w:t xml:space="preserve"> til dokumentation af negativ test</w:t>
      </w:r>
    </w:p>
    <w:p w14:paraId="5BD3694E" w14:textId="05278E2B" w:rsidR="00C375F1" w:rsidRPr="00C375F1" w:rsidRDefault="00C375F1" w:rsidP="00B910C4">
      <w:pPr>
        <w:pStyle w:val="Listeafsnit"/>
      </w:pPr>
    </w:p>
    <w:bookmarkEnd w:id="0"/>
    <w:p w14:paraId="4DB3076E" w14:textId="77777777" w:rsidR="00CC1530" w:rsidRDefault="00CC1530" w:rsidP="00B910C4">
      <w:pPr>
        <w:pStyle w:val="Overskrift2"/>
      </w:pPr>
    </w:p>
    <w:sectPr w:rsidR="00CC1530">
      <w:headerReference w:type="default" r:id="rId11"/>
      <w:footerReference w:type="defaul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222433" w14:textId="77777777" w:rsidR="008C1FC9" w:rsidRDefault="008C1FC9" w:rsidP="00CC1530">
      <w:pPr>
        <w:spacing w:after="0" w:line="240" w:lineRule="auto"/>
      </w:pPr>
      <w:r>
        <w:separator/>
      </w:r>
    </w:p>
  </w:endnote>
  <w:endnote w:type="continuationSeparator" w:id="0">
    <w:p w14:paraId="1D86079B" w14:textId="77777777" w:rsidR="008C1FC9" w:rsidRDefault="008C1FC9" w:rsidP="00CC1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5987282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AEE08AE" w14:textId="77777777" w:rsidR="0014283E" w:rsidRDefault="009C750C">
            <w:pPr>
              <w:pStyle w:val="Sidefod"/>
              <w:jc w:val="right"/>
              <w:rPr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3A0220">
              <w:rPr>
                <w:color w:val="BFBFBF" w:themeColor="background1" w:themeShade="BF"/>
              </w:rPr>
              <w:t xml:space="preserve">Side </w:t>
            </w:r>
            <w:r w:rsidRPr="003A0220">
              <w:rPr>
                <w:b/>
                <w:bCs/>
                <w:color w:val="BFBFBF" w:themeColor="background1" w:themeShade="BF"/>
                <w:sz w:val="24"/>
                <w:szCs w:val="24"/>
              </w:rPr>
              <w:fldChar w:fldCharType="begin"/>
            </w:r>
            <w:r w:rsidRPr="003A0220">
              <w:rPr>
                <w:b/>
                <w:bCs/>
                <w:color w:val="BFBFBF" w:themeColor="background1" w:themeShade="BF"/>
              </w:rPr>
              <w:instrText>PAGE</w:instrText>
            </w:r>
            <w:r w:rsidRPr="003A0220">
              <w:rPr>
                <w:b/>
                <w:bCs/>
                <w:color w:val="BFBFBF" w:themeColor="background1" w:themeShade="BF"/>
                <w:sz w:val="24"/>
                <w:szCs w:val="24"/>
              </w:rPr>
              <w:fldChar w:fldCharType="separate"/>
            </w:r>
            <w:r w:rsidRPr="003A0220">
              <w:rPr>
                <w:b/>
                <w:bCs/>
                <w:color w:val="BFBFBF" w:themeColor="background1" w:themeShade="BF"/>
              </w:rPr>
              <w:t>2</w:t>
            </w:r>
            <w:r w:rsidRPr="003A0220">
              <w:rPr>
                <w:b/>
                <w:bCs/>
                <w:color w:val="BFBFBF" w:themeColor="background1" w:themeShade="BF"/>
                <w:sz w:val="24"/>
                <w:szCs w:val="24"/>
              </w:rPr>
              <w:fldChar w:fldCharType="end"/>
            </w:r>
            <w:r w:rsidRPr="003A0220">
              <w:rPr>
                <w:color w:val="BFBFBF" w:themeColor="background1" w:themeShade="BF"/>
              </w:rPr>
              <w:t xml:space="preserve"> af </w:t>
            </w:r>
            <w:r w:rsidRPr="003A0220">
              <w:rPr>
                <w:b/>
                <w:bCs/>
                <w:color w:val="BFBFBF" w:themeColor="background1" w:themeShade="BF"/>
                <w:sz w:val="24"/>
                <w:szCs w:val="24"/>
              </w:rPr>
              <w:fldChar w:fldCharType="begin"/>
            </w:r>
            <w:r w:rsidRPr="003A0220">
              <w:rPr>
                <w:b/>
                <w:bCs/>
                <w:color w:val="BFBFBF" w:themeColor="background1" w:themeShade="BF"/>
              </w:rPr>
              <w:instrText>NUMPAGES</w:instrText>
            </w:r>
            <w:r w:rsidRPr="003A0220">
              <w:rPr>
                <w:b/>
                <w:bCs/>
                <w:color w:val="BFBFBF" w:themeColor="background1" w:themeShade="BF"/>
                <w:sz w:val="24"/>
                <w:szCs w:val="24"/>
              </w:rPr>
              <w:fldChar w:fldCharType="separate"/>
            </w:r>
            <w:r w:rsidRPr="003A0220">
              <w:rPr>
                <w:b/>
                <w:bCs/>
                <w:color w:val="BFBFBF" w:themeColor="background1" w:themeShade="BF"/>
              </w:rPr>
              <w:t>2</w:t>
            </w:r>
            <w:r w:rsidRPr="003A0220">
              <w:rPr>
                <w:b/>
                <w:bCs/>
                <w:color w:val="BFBFBF" w:themeColor="background1" w:themeShade="BF"/>
                <w:sz w:val="24"/>
                <w:szCs w:val="24"/>
              </w:rPr>
              <w:fldChar w:fldCharType="end"/>
            </w:r>
          </w:p>
          <w:p w14:paraId="52E2C0E2" w14:textId="1DC4DEE7" w:rsidR="009C750C" w:rsidRDefault="0014283E">
            <w:pPr>
              <w:pStyle w:val="Sidefod"/>
              <w:jc w:val="right"/>
            </w:pPr>
            <w:r w:rsidRPr="003A0220">
              <w:rPr>
                <w:color w:val="BFBFBF" w:themeColor="background1" w:themeShade="BF"/>
                <w:sz w:val="24"/>
                <w:szCs w:val="24"/>
              </w:rPr>
              <w:t>Offentliggjort 22. november 2021</w:t>
            </w:r>
          </w:p>
        </w:sdtContent>
      </w:sdt>
    </w:sdtContent>
  </w:sdt>
  <w:p w14:paraId="2B9EC153" w14:textId="77777777" w:rsidR="009C750C" w:rsidRDefault="009C750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F9135E" w14:textId="77777777" w:rsidR="008C1FC9" w:rsidRDefault="008C1FC9" w:rsidP="00CC1530">
      <w:pPr>
        <w:spacing w:after="0" w:line="240" w:lineRule="auto"/>
      </w:pPr>
      <w:r>
        <w:separator/>
      </w:r>
    </w:p>
  </w:footnote>
  <w:footnote w:type="continuationSeparator" w:id="0">
    <w:p w14:paraId="199A584F" w14:textId="77777777" w:rsidR="008C1FC9" w:rsidRDefault="008C1FC9" w:rsidP="00CC1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640EE1" w14:textId="58A49E20" w:rsidR="009C750C" w:rsidRDefault="008C1FC9" w:rsidP="009C750C">
    <w:pPr>
      <w:pStyle w:val="Lillev"/>
    </w:pPr>
    <w:sdt>
      <w:sdtPr>
        <w:id w:val="1009559856"/>
        <w:docPartObj>
          <w:docPartGallery w:val="Watermarks"/>
          <w:docPartUnique/>
        </w:docPartObj>
      </w:sdtPr>
      <w:sdtEndPr/>
      <w:sdtContent>
        <w:r w:rsidR="009C750C">
          <w:rPr>
            <w:noProof/>
          </w:rPr>
          <w:drawing>
            <wp:anchor distT="0" distB="0" distL="114300" distR="114300" simplePos="0" relativeHeight="251656704" behindDoc="1" locked="1" layoutInCell="1" allowOverlap="1" wp14:anchorId="5FD1E83A" wp14:editId="36AAFC7A">
              <wp:simplePos x="0" y="0"/>
              <wp:positionH relativeFrom="column">
                <wp:posOffset>266700</wp:posOffset>
              </wp:positionH>
              <wp:positionV relativeFrom="page">
                <wp:posOffset>5404485</wp:posOffset>
              </wp:positionV>
              <wp:extent cx="6120130" cy="4979670"/>
              <wp:effectExtent l="0" t="0" r="0" b="0"/>
              <wp:wrapNone/>
              <wp:docPr id="3" name="Billede 3" descr="NANOQ_stor_gradiant_bla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Billede 1" descr="NANOQ_stor_gradiant_blaa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20130" cy="497967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sdtContent>
    </w:sdt>
    <w:r w:rsidR="009C750C">
      <w:t xml:space="preserve"> </w:t>
    </w:r>
    <w:sdt>
      <w:sdtPr>
        <w:id w:val="513356594"/>
        <w:docPartObj>
          <w:docPartGallery w:val="Watermarks"/>
          <w:docPartUnique/>
        </w:docPartObj>
      </w:sdtPr>
      <w:sdtEndPr/>
      <w:sdtContent>
        <w:r w:rsidR="009C750C">
          <w:rPr>
            <w:noProof/>
          </w:rPr>
          <w:drawing>
            <wp:anchor distT="0" distB="0" distL="114300" distR="114300" simplePos="0" relativeHeight="251657728" behindDoc="1" locked="1" layoutInCell="1" allowOverlap="1" wp14:anchorId="12C6D59C" wp14:editId="24C0036C">
              <wp:simplePos x="0" y="0"/>
              <wp:positionH relativeFrom="column">
                <wp:posOffset>723900</wp:posOffset>
              </wp:positionH>
              <wp:positionV relativeFrom="page">
                <wp:posOffset>5738495</wp:posOffset>
              </wp:positionV>
              <wp:extent cx="6120130" cy="4979670"/>
              <wp:effectExtent l="0" t="0" r="0" b="0"/>
              <wp:wrapNone/>
              <wp:docPr id="2" name="Billede 2" descr="NANOQ_stor_gradiant_bla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Billede 2" descr="NANOQ_stor_gradiant_blaa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20130" cy="497967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sdtContent>
    </w:sdt>
    <w:r w:rsidR="009C750C">
      <w:t xml:space="preserve">   </w:t>
    </w:r>
  </w:p>
  <w:p w14:paraId="419BA987" w14:textId="0C2E29B8" w:rsidR="009C750C" w:rsidRDefault="009C750C" w:rsidP="009C750C">
    <w:pPr>
      <w:pStyle w:val="Lillev"/>
      <w:jc w:val="left"/>
    </w:pPr>
    <w:r>
      <w:rPr>
        <w:noProof/>
      </w:rPr>
      <w:drawing>
        <wp:anchor distT="0" distB="0" distL="114300" distR="114300" simplePos="0" relativeHeight="251658752" behindDoc="0" locked="1" layoutInCell="1" allowOverlap="1" wp14:anchorId="70FD81A8" wp14:editId="3E819497">
          <wp:simplePos x="0" y="0"/>
          <wp:positionH relativeFrom="column">
            <wp:posOffset>4219575</wp:posOffset>
          </wp:positionH>
          <wp:positionV relativeFrom="page">
            <wp:posOffset>382905</wp:posOffset>
          </wp:positionV>
          <wp:extent cx="2162175" cy="714375"/>
          <wp:effectExtent l="0" t="0" r="9525" b="9525"/>
          <wp:wrapNone/>
          <wp:docPr id="1" name="Billede 1" descr="Nanoq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3" descr="Nanoq_logo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Peqqissutsimut Naalakkersuisoqarfik</w:t>
    </w:r>
  </w:p>
  <w:p w14:paraId="0BC36714" w14:textId="77777777" w:rsidR="009C750C" w:rsidRDefault="009C750C" w:rsidP="009C750C">
    <w:pPr>
      <w:pStyle w:val="Lillev"/>
    </w:pPr>
    <w:r>
      <w:t xml:space="preserve">Departementet for Sundhed </w:t>
    </w:r>
  </w:p>
  <w:p w14:paraId="3CB9E940" w14:textId="77777777" w:rsidR="009C750C" w:rsidRDefault="009C750C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044704"/>
    <w:multiLevelType w:val="hybridMultilevel"/>
    <w:tmpl w:val="58AE72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A69C1"/>
    <w:multiLevelType w:val="hybridMultilevel"/>
    <w:tmpl w:val="E11C8A28"/>
    <w:lvl w:ilvl="0" w:tplc="046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456CB"/>
    <w:multiLevelType w:val="hybridMultilevel"/>
    <w:tmpl w:val="D7022A38"/>
    <w:lvl w:ilvl="0" w:tplc="046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90CC9"/>
    <w:multiLevelType w:val="hybridMultilevel"/>
    <w:tmpl w:val="ACEED6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95803"/>
    <w:multiLevelType w:val="hybridMultilevel"/>
    <w:tmpl w:val="341C67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F3277"/>
    <w:multiLevelType w:val="hybridMultilevel"/>
    <w:tmpl w:val="C456B7C4"/>
    <w:lvl w:ilvl="0" w:tplc="046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6F0019" w:tentative="1">
      <w:start w:val="1"/>
      <w:numFmt w:val="lowerLetter"/>
      <w:lvlText w:val="%2."/>
      <w:lvlJc w:val="left"/>
      <w:pPr>
        <w:ind w:left="1440" w:hanging="360"/>
      </w:pPr>
    </w:lvl>
    <w:lvl w:ilvl="2" w:tplc="046F001B" w:tentative="1">
      <w:start w:val="1"/>
      <w:numFmt w:val="lowerRoman"/>
      <w:lvlText w:val="%3."/>
      <w:lvlJc w:val="right"/>
      <w:pPr>
        <w:ind w:left="2160" w:hanging="180"/>
      </w:pPr>
    </w:lvl>
    <w:lvl w:ilvl="3" w:tplc="046F000F" w:tentative="1">
      <w:start w:val="1"/>
      <w:numFmt w:val="decimal"/>
      <w:lvlText w:val="%4."/>
      <w:lvlJc w:val="left"/>
      <w:pPr>
        <w:ind w:left="2880" w:hanging="360"/>
      </w:pPr>
    </w:lvl>
    <w:lvl w:ilvl="4" w:tplc="046F0019" w:tentative="1">
      <w:start w:val="1"/>
      <w:numFmt w:val="lowerLetter"/>
      <w:lvlText w:val="%5."/>
      <w:lvlJc w:val="left"/>
      <w:pPr>
        <w:ind w:left="3600" w:hanging="360"/>
      </w:pPr>
    </w:lvl>
    <w:lvl w:ilvl="5" w:tplc="046F001B" w:tentative="1">
      <w:start w:val="1"/>
      <w:numFmt w:val="lowerRoman"/>
      <w:lvlText w:val="%6."/>
      <w:lvlJc w:val="right"/>
      <w:pPr>
        <w:ind w:left="4320" w:hanging="180"/>
      </w:pPr>
    </w:lvl>
    <w:lvl w:ilvl="6" w:tplc="046F000F" w:tentative="1">
      <w:start w:val="1"/>
      <w:numFmt w:val="decimal"/>
      <w:lvlText w:val="%7."/>
      <w:lvlJc w:val="left"/>
      <w:pPr>
        <w:ind w:left="5040" w:hanging="360"/>
      </w:pPr>
    </w:lvl>
    <w:lvl w:ilvl="7" w:tplc="046F0019" w:tentative="1">
      <w:start w:val="1"/>
      <w:numFmt w:val="lowerLetter"/>
      <w:lvlText w:val="%8."/>
      <w:lvlJc w:val="left"/>
      <w:pPr>
        <w:ind w:left="5760" w:hanging="360"/>
      </w:pPr>
    </w:lvl>
    <w:lvl w:ilvl="8" w:tplc="046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D59F8"/>
    <w:multiLevelType w:val="multilevel"/>
    <w:tmpl w:val="908CF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9B2D38"/>
    <w:multiLevelType w:val="multilevel"/>
    <w:tmpl w:val="0E86A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EC3E05"/>
    <w:multiLevelType w:val="hybridMultilevel"/>
    <w:tmpl w:val="073872B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2255B"/>
    <w:multiLevelType w:val="hybridMultilevel"/>
    <w:tmpl w:val="BA783F9A"/>
    <w:lvl w:ilvl="0" w:tplc="046F000F">
      <w:start w:val="1"/>
      <w:numFmt w:val="decimal"/>
      <w:lvlText w:val="%1."/>
      <w:lvlJc w:val="left"/>
      <w:pPr>
        <w:ind w:left="360" w:hanging="360"/>
      </w:pPr>
    </w:lvl>
    <w:lvl w:ilvl="1" w:tplc="046F0019" w:tentative="1">
      <w:start w:val="1"/>
      <w:numFmt w:val="lowerLetter"/>
      <w:lvlText w:val="%2."/>
      <w:lvlJc w:val="left"/>
      <w:pPr>
        <w:ind w:left="1080" w:hanging="360"/>
      </w:pPr>
    </w:lvl>
    <w:lvl w:ilvl="2" w:tplc="046F001B" w:tentative="1">
      <w:start w:val="1"/>
      <w:numFmt w:val="lowerRoman"/>
      <w:lvlText w:val="%3."/>
      <w:lvlJc w:val="right"/>
      <w:pPr>
        <w:ind w:left="1800" w:hanging="180"/>
      </w:pPr>
    </w:lvl>
    <w:lvl w:ilvl="3" w:tplc="046F000F" w:tentative="1">
      <w:start w:val="1"/>
      <w:numFmt w:val="decimal"/>
      <w:lvlText w:val="%4."/>
      <w:lvlJc w:val="left"/>
      <w:pPr>
        <w:ind w:left="2520" w:hanging="360"/>
      </w:pPr>
    </w:lvl>
    <w:lvl w:ilvl="4" w:tplc="046F0019" w:tentative="1">
      <w:start w:val="1"/>
      <w:numFmt w:val="lowerLetter"/>
      <w:lvlText w:val="%5."/>
      <w:lvlJc w:val="left"/>
      <w:pPr>
        <w:ind w:left="3240" w:hanging="360"/>
      </w:pPr>
    </w:lvl>
    <w:lvl w:ilvl="5" w:tplc="046F001B" w:tentative="1">
      <w:start w:val="1"/>
      <w:numFmt w:val="lowerRoman"/>
      <w:lvlText w:val="%6."/>
      <w:lvlJc w:val="right"/>
      <w:pPr>
        <w:ind w:left="3960" w:hanging="180"/>
      </w:pPr>
    </w:lvl>
    <w:lvl w:ilvl="6" w:tplc="046F000F" w:tentative="1">
      <w:start w:val="1"/>
      <w:numFmt w:val="decimal"/>
      <w:lvlText w:val="%7."/>
      <w:lvlJc w:val="left"/>
      <w:pPr>
        <w:ind w:left="4680" w:hanging="360"/>
      </w:pPr>
    </w:lvl>
    <w:lvl w:ilvl="7" w:tplc="046F0019" w:tentative="1">
      <w:start w:val="1"/>
      <w:numFmt w:val="lowerLetter"/>
      <w:lvlText w:val="%8."/>
      <w:lvlJc w:val="left"/>
      <w:pPr>
        <w:ind w:left="5400" w:hanging="360"/>
      </w:pPr>
    </w:lvl>
    <w:lvl w:ilvl="8" w:tplc="046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E13752"/>
    <w:multiLevelType w:val="hybridMultilevel"/>
    <w:tmpl w:val="C588A0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F3080"/>
    <w:multiLevelType w:val="hybridMultilevel"/>
    <w:tmpl w:val="8772AE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004C11"/>
    <w:multiLevelType w:val="multilevel"/>
    <w:tmpl w:val="E2F09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D959B0"/>
    <w:multiLevelType w:val="hybridMultilevel"/>
    <w:tmpl w:val="A8680E8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781611"/>
    <w:multiLevelType w:val="hybridMultilevel"/>
    <w:tmpl w:val="91F4CC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1E71E6"/>
    <w:multiLevelType w:val="hybridMultilevel"/>
    <w:tmpl w:val="8E5CC54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F461CC"/>
    <w:multiLevelType w:val="hybridMultilevel"/>
    <w:tmpl w:val="767E33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142741"/>
    <w:multiLevelType w:val="hybridMultilevel"/>
    <w:tmpl w:val="5BE8650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ED2572"/>
    <w:multiLevelType w:val="hybridMultilevel"/>
    <w:tmpl w:val="63C881D0"/>
    <w:lvl w:ilvl="0" w:tplc="046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DC5FE9"/>
    <w:multiLevelType w:val="hybridMultilevel"/>
    <w:tmpl w:val="0D54AD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04BC8"/>
    <w:multiLevelType w:val="hybridMultilevel"/>
    <w:tmpl w:val="A9801940"/>
    <w:lvl w:ilvl="0" w:tplc="046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A4314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471ACB"/>
    <w:multiLevelType w:val="hybridMultilevel"/>
    <w:tmpl w:val="17348D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DA77B5"/>
    <w:multiLevelType w:val="hybridMultilevel"/>
    <w:tmpl w:val="223CAE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7A1BBF"/>
    <w:multiLevelType w:val="hybridMultilevel"/>
    <w:tmpl w:val="4E22D4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E9778F"/>
    <w:multiLevelType w:val="hybridMultilevel"/>
    <w:tmpl w:val="066001B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61176F"/>
    <w:multiLevelType w:val="hybridMultilevel"/>
    <w:tmpl w:val="E41C80D2"/>
    <w:lvl w:ilvl="0" w:tplc="046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6F0019" w:tentative="1">
      <w:start w:val="1"/>
      <w:numFmt w:val="lowerLetter"/>
      <w:lvlText w:val="%2."/>
      <w:lvlJc w:val="left"/>
      <w:pPr>
        <w:ind w:left="1440" w:hanging="360"/>
      </w:pPr>
    </w:lvl>
    <w:lvl w:ilvl="2" w:tplc="046F001B" w:tentative="1">
      <w:start w:val="1"/>
      <w:numFmt w:val="lowerRoman"/>
      <w:lvlText w:val="%3."/>
      <w:lvlJc w:val="right"/>
      <w:pPr>
        <w:ind w:left="2160" w:hanging="180"/>
      </w:pPr>
    </w:lvl>
    <w:lvl w:ilvl="3" w:tplc="046F000F" w:tentative="1">
      <w:start w:val="1"/>
      <w:numFmt w:val="decimal"/>
      <w:lvlText w:val="%4."/>
      <w:lvlJc w:val="left"/>
      <w:pPr>
        <w:ind w:left="2880" w:hanging="360"/>
      </w:pPr>
    </w:lvl>
    <w:lvl w:ilvl="4" w:tplc="046F0019" w:tentative="1">
      <w:start w:val="1"/>
      <w:numFmt w:val="lowerLetter"/>
      <w:lvlText w:val="%5."/>
      <w:lvlJc w:val="left"/>
      <w:pPr>
        <w:ind w:left="3600" w:hanging="360"/>
      </w:pPr>
    </w:lvl>
    <w:lvl w:ilvl="5" w:tplc="046F001B" w:tentative="1">
      <w:start w:val="1"/>
      <w:numFmt w:val="lowerRoman"/>
      <w:lvlText w:val="%6."/>
      <w:lvlJc w:val="right"/>
      <w:pPr>
        <w:ind w:left="4320" w:hanging="180"/>
      </w:pPr>
    </w:lvl>
    <w:lvl w:ilvl="6" w:tplc="046F000F" w:tentative="1">
      <w:start w:val="1"/>
      <w:numFmt w:val="decimal"/>
      <w:lvlText w:val="%7."/>
      <w:lvlJc w:val="left"/>
      <w:pPr>
        <w:ind w:left="5040" w:hanging="360"/>
      </w:pPr>
    </w:lvl>
    <w:lvl w:ilvl="7" w:tplc="046F0019" w:tentative="1">
      <w:start w:val="1"/>
      <w:numFmt w:val="lowerLetter"/>
      <w:lvlText w:val="%8."/>
      <w:lvlJc w:val="left"/>
      <w:pPr>
        <w:ind w:left="5760" w:hanging="360"/>
      </w:pPr>
    </w:lvl>
    <w:lvl w:ilvl="8" w:tplc="046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833FF9"/>
    <w:multiLevelType w:val="hybridMultilevel"/>
    <w:tmpl w:val="E75C3876"/>
    <w:lvl w:ilvl="0" w:tplc="046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6F0019" w:tentative="1">
      <w:start w:val="1"/>
      <w:numFmt w:val="lowerLetter"/>
      <w:lvlText w:val="%2."/>
      <w:lvlJc w:val="left"/>
      <w:pPr>
        <w:ind w:left="1440" w:hanging="360"/>
      </w:pPr>
    </w:lvl>
    <w:lvl w:ilvl="2" w:tplc="046F001B" w:tentative="1">
      <w:start w:val="1"/>
      <w:numFmt w:val="lowerRoman"/>
      <w:lvlText w:val="%3."/>
      <w:lvlJc w:val="right"/>
      <w:pPr>
        <w:ind w:left="2160" w:hanging="180"/>
      </w:pPr>
    </w:lvl>
    <w:lvl w:ilvl="3" w:tplc="046F000F" w:tentative="1">
      <w:start w:val="1"/>
      <w:numFmt w:val="decimal"/>
      <w:lvlText w:val="%4."/>
      <w:lvlJc w:val="left"/>
      <w:pPr>
        <w:ind w:left="2880" w:hanging="360"/>
      </w:pPr>
    </w:lvl>
    <w:lvl w:ilvl="4" w:tplc="046F0019" w:tentative="1">
      <w:start w:val="1"/>
      <w:numFmt w:val="lowerLetter"/>
      <w:lvlText w:val="%5."/>
      <w:lvlJc w:val="left"/>
      <w:pPr>
        <w:ind w:left="3600" w:hanging="360"/>
      </w:pPr>
    </w:lvl>
    <w:lvl w:ilvl="5" w:tplc="046F001B" w:tentative="1">
      <w:start w:val="1"/>
      <w:numFmt w:val="lowerRoman"/>
      <w:lvlText w:val="%6."/>
      <w:lvlJc w:val="right"/>
      <w:pPr>
        <w:ind w:left="4320" w:hanging="180"/>
      </w:pPr>
    </w:lvl>
    <w:lvl w:ilvl="6" w:tplc="046F000F" w:tentative="1">
      <w:start w:val="1"/>
      <w:numFmt w:val="decimal"/>
      <w:lvlText w:val="%7."/>
      <w:lvlJc w:val="left"/>
      <w:pPr>
        <w:ind w:left="5040" w:hanging="360"/>
      </w:pPr>
    </w:lvl>
    <w:lvl w:ilvl="7" w:tplc="046F0019" w:tentative="1">
      <w:start w:val="1"/>
      <w:numFmt w:val="lowerLetter"/>
      <w:lvlText w:val="%8."/>
      <w:lvlJc w:val="left"/>
      <w:pPr>
        <w:ind w:left="5760" w:hanging="360"/>
      </w:pPr>
    </w:lvl>
    <w:lvl w:ilvl="8" w:tplc="046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2A4D8A"/>
    <w:multiLevelType w:val="multilevel"/>
    <w:tmpl w:val="908CF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456C1B"/>
    <w:multiLevelType w:val="multilevel"/>
    <w:tmpl w:val="908CF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AC7878"/>
    <w:multiLevelType w:val="hybridMultilevel"/>
    <w:tmpl w:val="7C0091AE"/>
    <w:lvl w:ilvl="0" w:tplc="046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6F0019">
      <w:start w:val="1"/>
      <w:numFmt w:val="lowerLetter"/>
      <w:lvlText w:val="%2."/>
      <w:lvlJc w:val="left"/>
      <w:pPr>
        <w:ind w:left="1440" w:hanging="360"/>
      </w:pPr>
    </w:lvl>
    <w:lvl w:ilvl="2" w:tplc="046F001B" w:tentative="1">
      <w:start w:val="1"/>
      <w:numFmt w:val="lowerRoman"/>
      <w:lvlText w:val="%3."/>
      <w:lvlJc w:val="right"/>
      <w:pPr>
        <w:ind w:left="2160" w:hanging="180"/>
      </w:pPr>
    </w:lvl>
    <w:lvl w:ilvl="3" w:tplc="046F000F" w:tentative="1">
      <w:start w:val="1"/>
      <w:numFmt w:val="decimal"/>
      <w:lvlText w:val="%4."/>
      <w:lvlJc w:val="left"/>
      <w:pPr>
        <w:ind w:left="2880" w:hanging="360"/>
      </w:pPr>
    </w:lvl>
    <w:lvl w:ilvl="4" w:tplc="046F0019" w:tentative="1">
      <w:start w:val="1"/>
      <w:numFmt w:val="lowerLetter"/>
      <w:lvlText w:val="%5."/>
      <w:lvlJc w:val="left"/>
      <w:pPr>
        <w:ind w:left="3600" w:hanging="360"/>
      </w:pPr>
    </w:lvl>
    <w:lvl w:ilvl="5" w:tplc="046F001B" w:tentative="1">
      <w:start w:val="1"/>
      <w:numFmt w:val="lowerRoman"/>
      <w:lvlText w:val="%6."/>
      <w:lvlJc w:val="right"/>
      <w:pPr>
        <w:ind w:left="4320" w:hanging="180"/>
      </w:pPr>
    </w:lvl>
    <w:lvl w:ilvl="6" w:tplc="046F000F" w:tentative="1">
      <w:start w:val="1"/>
      <w:numFmt w:val="decimal"/>
      <w:lvlText w:val="%7."/>
      <w:lvlJc w:val="left"/>
      <w:pPr>
        <w:ind w:left="5040" w:hanging="360"/>
      </w:pPr>
    </w:lvl>
    <w:lvl w:ilvl="7" w:tplc="046F0019" w:tentative="1">
      <w:start w:val="1"/>
      <w:numFmt w:val="lowerLetter"/>
      <w:lvlText w:val="%8."/>
      <w:lvlJc w:val="left"/>
      <w:pPr>
        <w:ind w:left="5760" w:hanging="360"/>
      </w:pPr>
    </w:lvl>
    <w:lvl w:ilvl="8" w:tplc="046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C302C8"/>
    <w:multiLevelType w:val="hybridMultilevel"/>
    <w:tmpl w:val="A51A64F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8336A4"/>
    <w:multiLevelType w:val="hybridMultilevel"/>
    <w:tmpl w:val="BBB8FC14"/>
    <w:lvl w:ilvl="0" w:tplc="046F0011">
      <w:start w:val="1"/>
      <w:numFmt w:val="decimal"/>
      <w:lvlText w:val="%1)"/>
      <w:lvlJc w:val="left"/>
      <w:pPr>
        <w:ind w:left="720" w:hanging="360"/>
      </w:pPr>
    </w:lvl>
    <w:lvl w:ilvl="1" w:tplc="046F0019" w:tentative="1">
      <w:start w:val="1"/>
      <w:numFmt w:val="lowerLetter"/>
      <w:lvlText w:val="%2."/>
      <w:lvlJc w:val="left"/>
      <w:pPr>
        <w:ind w:left="1440" w:hanging="360"/>
      </w:pPr>
    </w:lvl>
    <w:lvl w:ilvl="2" w:tplc="046F001B" w:tentative="1">
      <w:start w:val="1"/>
      <w:numFmt w:val="lowerRoman"/>
      <w:lvlText w:val="%3."/>
      <w:lvlJc w:val="right"/>
      <w:pPr>
        <w:ind w:left="2160" w:hanging="180"/>
      </w:pPr>
    </w:lvl>
    <w:lvl w:ilvl="3" w:tplc="046F000F" w:tentative="1">
      <w:start w:val="1"/>
      <w:numFmt w:val="decimal"/>
      <w:lvlText w:val="%4."/>
      <w:lvlJc w:val="left"/>
      <w:pPr>
        <w:ind w:left="2880" w:hanging="360"/>
      </w:pPr>
    </w:lvl>
    <w:lvl w:ilvl="4" w:tplc="046F0019" w:tentative="1">
      <w:start w:val="1"/>
      <w:numFmt w:val="lowerLetter"/>
      <w:lvlText w:val="%5."/>
      <w:lvlJc w:val="left"/>
      <w:pPr>
        <w:ind w:left="3600" w:hanging="360"/>
      </w:pPr>
    </w:lvl>
    <w:lvl w:ilvl="5" w:tplc="046F001B" w:tentative="1">
      <w:start w:val="1"/>
      <w:numFmt w:val="lowerRoman"/>
      <w:lvlText w:val="%6."/>
      <w:lvlJc w:val="right"/>
      <w:pPr>
        <w:ind w:left="4320" w:hanging="180"/>
      </w:pPr>
    </w:lvl>
    <w:lvl w:ilvl="6" w:tplc="046F000F" w:tentative="1">
      <w:start w:val="1"/>
      <w:numFmt w:val="decimal"/>
      <w:lvlText w:val="%7."/>
      <w:lvlJc w:val="left"/>
      <w:pPr>
        <w:ind w:left="5040" w:hanging="360"/>
      </w:pPr>
    </w:lvl>
    <w:lvl w:ilvl="7" w:tplc="046F0019" w:tentative="1">
      <w:start w:val="1"/>
      <w:numFmt w:val="lowerLetter"/>
      <w:lvlText w:val="%8."/>
      <w:lvlJc w:val="left"/>
      <w:pPr>
        <w:ind w:left="5760" w:hanging="360"/>
      </w:pPr>
    </w:lvl>
    <w:lvl w:ilvl="8" w:tplc="046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09449C"/>
    <w:multiLevelType w:val="hybridMultilevel"/>
    <w:tmpl w:val="A6B60920"/>
    <w:lvl w:ilvl="0" w:tplc="046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6F0019" w:tentative="1">
      <w:start w:val="1"/>
      <w:numFmt w:val="lowerLetter"/>
      <w:lvlText w:val="%2."/>
      <w:lvlJc w:val="left"/>
      <w:pPr>
        <w:ind w:left="1440" w:hanging="360"/>
      </w:pPr>
    </w:lvl>
    <w:lvl w:ilvl="2" w:tplc="046F001B" w:tentative="1">
      <w:start w:val="1"/>
      <w:numFmt w:val="lowerRoman"/>
      <w:lvlText w:val="%3."/>
      <w:lvlJc w:val="right"/>
      <w:pPr>
        <w:ind w:left="2160" w:hanging="180"/>
      </w:pPr>
    </w:lvl>
    <w:lvl w:ilvl="3" w:tplc="046F000F" w:tentative="1">
      <w:start w:val="1"/>
      <w:numFmt w:val="decimal"/>
      <w:lvlText w:val="%4."/>
      <w:lvlJc w:val="left"/>
      <w:pPr>
        <w:ind w:left="2880" w:hanging="360"/>
      </w:pPr>
    </w:lvl>
    <w:lvl w:ilvl="4" w:tplc="046F0019" w:tentative="1">
      <w:start w:val="1"/>
      <w:numFmt w:val="lowerLetter"/>
      <w:lvlText w:val="%5."/>
      <w:lvlJc w:val="left"/>
      <w:pPr>
        <w:ind w:left="3600" w:hanging="360"/>
      </w:pPr>
    </w:lvl>
    <w:lvl w:ilvl="5" w:tplc="046F001B" w:tentative="1">
      <w:start w:val="1"/>
      <w:numFmt w:val="lowerRoman"/>
      <w:lvlText w:val="%6."/>
      <w:lvlJc w:val="right"/>
      <w:pPr>
        <w:ind w:left="4320" w:hanging="180"/>
      </w:pPr>
    </w:lvl>
    <w:lvl w:ilvl="6" w:tplc="046F000F" w:tentative="1">
      <w:start w:val="1"/>
      <w:numFmt w:val="decimal"/>
      <w:lvlText w:val="%7."/>
      <w:lvlJc w:val="left"/>
      <w:pPr>
        <w:ind w:left="5040" w:hanging="360"/>
      </w:pPr>
    </w:lvl>
    <w:lvl w:ilvl="7" w:tplc="046F0019" w:tentative="1">
      <w:start w:val="1"/>
      <w:numFmt w:val="lowerLetter"/>
      <w:lvlText w:val="%8."/>
      <w:lvlJc w:val="left"/>
      <w:pPr>
        <w:ind w:left="5760" w:hanging="360"/>
      </w:pPr>
    </w:lvl>
    <w:lvl w:ilvl="8" w:tplc="046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8D18B4"/>
    <w:multiLevelType w:val="hybridMultilevel"/>
    <w:tmpl w:val="C1988C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19"/>
  </w:num>
  <w:num w:numId="4">
    <w:abstractNumId w:val="32"/>
  </w:num>
  <w:num w:numId="5">
    <w:abstractNumId w:val="18"/>
  </w:num>
  <w:num w:numId="6">
    <w:abstractNumId w:val="2"/>
  </w:num>
  <w:num w:numId="7">
    <w:abstractNumId w:val="20"/>
  </w:num>
  <w:num w:numId="8">
    <w:abstractNumId w:val="1"/>
  </w:num>
  <w:num w:numId="9">
    <w:abstractNumId w:val="6"/>
  </w:num>
  <w:num w:numId="10">
    <w:abstractNumId w:val="12"/>
  </w:num>
  <w:num w:numId="11">
    <w:abstractNumId w:val="7"/>
  </w:num>
  <w:num w:numId="12">
    <w:abstractNumId w:val="24"/>
  </w:num>
  <w:num w:numId="13">
    <w:abstractNumId w:val="21"/>
  </w:num>
  <w:num w:numId="14">
    <w:abstractNumId w:val="22"/>
  </w:num>
  <w:num w:numId="15">
    <w:abstractNumId w:val="10"/>
  </w:num>
  <w:num w:numId="16">
    <w:abstractNumId w:val="11"/>
  </w:num>
  <w:num w:numId="17">
    <w:abstractNumId w:val="17"/>
  </w:num>
  <w:num w:numId="18">
    <w:abstractNumId w:val="3"/>
  </w:num>
  <w:num w:numId="19">
    <w:abstractNumId w:val="30"/>
  </w:num>
  <w:num w:numId="20">
    <w:abstractNumId w:val="8"/>
  </w:num>
  <w:num w:numId="21">
    <w:abstractNumId w:val="13"/>
  </w:num>
  <w:num w:numId="22">
    <w:abstractNumId w:val="28"/>
  </w:num>
  <w:num w:numId="23">
    <w:abstractNumId w:val="27"/>
  </w:num>
  <w:num w:numId="24">
    <w:abstractNumId w:val="4"/>
  </w:num>
  <w:num w:numId="25">
    <w:abstractNumId w:val="14"/>
  </w:num>
  <w:num w:numId="26">
    <w:abstractNumId w:val="15"/>
  </w:num>
  <w:num w:numId="27">
    <w:abstractNumId w:val="23"/>
  </w:num>
  <w:num w:numId="28">
    <w:abstractNumId w:val="33"/>
  </w:num>
  <w:num w:numId="29">
    <w:abstractNumId w:val="26"/>
  </w:num>
  <w:num w:numId="30">
    <w:abstractNumId w:val="9"/>
  </w:num>
  <w:num w:numId="31">
    <w:abstractNumId w:val="25"/>
  </w:num>
  <w:num w:numId="32">
    <w:abstractNumId w:val="31"/>
  </w:num>
  <w:num w:numId="33">
    <w:abstractNumId w:val="5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530"/>
    <w:rsid w:val="00010C1E"/>
    <w:rsid w:val="000277CA"/>
    <w:rsid w:val="00030792"/>
    <w:rsid w:val="00036805"/>
    <w:rsid w:val="00053E3B"/>
    <w:rsid w:val="000620D0"/>
    <w:rsid w:val="00063996"/>
    <w:rsid w:val="00092769"/>
    <w:rsid w:val="000D644F"/>
    <w:rsid w:val="000D7324"/>
    <w:rsid w:val="00114CC4"/>
    <w:rsid w:val="00132F0A"/>
    <w:rsid w:val="0014283E"/>
    <w:rsid w:val="00166012"/>
    <w:rsid w:val="001858FC"/>
    <w:rsid w:val="001A6764"/>
    <w:rsid w:val="00233EA3"/>
    <w:rsid w:val="002478B1"/>
    <w:rsid w:val="00260EDC"/>
    <w:rsid w:val="002659CB"/>
    <w:rsid w:val="00281075"/>
    <w:rsid w:val="00285EF5"/>
    <w:rsid w:val="00286364"/>
    <w:rsid w:val="002B41E7"/>
    <w:rsid w:val="002E56CD"/>
    <w:rsid w:val="002E6F7F"/>
    <w:rsid w:val="002F0565"/>
    <w:rsid w:val="00305DFD"/>
    <w:rsid w:val="00334DC9"/>
    <w:rsid w:val="00352CA8"/>
    <w:rsid w:val="003A0220"/>
    <w:rsid w:val="003A35C7"/>
    <w:rsid w:val="003F3966"/>
    <w:rsid w:val="003F3D44"/>
    <w:rsid w:val="003F6607"/>
    <w:rsid w:val="004076C3"/>
    <w:rsid w:val="00420BC0"/>
    <w:rsid w:val="00421F7C"/>
    <w:rsid w:val="00455ED3"/>
    <w:rsid w:val="00461564"/>
    <w:rsid w:val="00487199"/>
    <w:rsid w:val="00487293"/>
    <w:rsid w:val="00490363"/>
    <w:rsid w:val="004C17B9"/>
    <w:rsid w:val="004C3342"/>
    <w:rsid w:val="004D033A"/>
    <w:rsid w:val="00505DC4"/>
    <w:rsid w:val="0051633B"/>
    <w:rsid w:val="00526C90"/>
    <w:rsid w:val="0052727B"/>
    <w:rsid w:val="00527E03"/>
    <w:rsid w:val="00536342"/>
    <w:rsid w:val="00572B74"/>
    <w:rsid w:val="0057354F"/>
    <w:rsid w:val="005A4E9E"/>
    <w:rsid w:val="005C309F"/>
    <w:rsid w:val="005D7DA2"/>
    <w:rsid w:val="005F4305"/>
    <w:rsid w:val="00615DBD"/>
    <w:rsid w:val="00633254"/>
    <w:rsid w:val="00661213"/>
    <w:rsid w:val="0066296A"/>
    <w:rsid w:val="00690827"/>
    <w:rsid w:val="00691D8B"/>
    <w:rsid w:val="006A0D44"/>
    <w:rsid w:val="006A23A6"/>
    <w:rsid w:val="006B3FAA"/>
    <w:rsid w:val="006D0A3B"/>
    <w:rsid w:val="006D0E2A"/>
    <w:rsid w:val="006D1161"/>
    <w:rsid w:val="006D5736"/>
    <w:rsid w:val="006D70CB"/>
    <w:rsid w:val="006E5EE5"/>
    <w:rsid w:val="006E7D10"/>
    <w:rsid w:val="006F2FC2"/>
    <w:rsid w:val="00701527"/>
    <w:rsid w:val="007021E9"/>
    <w:rsid w:val="00763800"/>
    <w:rsid w:val="00786FDD"/>
    <w:rsid w:val="00791CAB"/>
    <w:rsid w:val="007936A3"/>
    <w:rsid w:val="007A001A"/>
    <w:rsid w:val="007B3F04"/>
    <w:rsid w:val="007D5D86"/>
    <w:rsid w:val="007E0536"/>
    <w:rsid w:val="007E4EED"/>
    <w:rsid w:val="007F4F76"/>
    <w:rsid w:val="00807A68"/>
    <w:rsid w:val="00820A3E"/>
    <w:rsid w:val="00827740"/>
    <w:rsid w:val="00831ECB"/>
    <w:rsid w:val="008356A7"/>
    <w:rsid w:val="00856A2A"/>
    <w:rsid w:val="00861DE0"/>
    <w:rsid w:val="00881CCF"/>
    <w:rsid w:val="0088374A"/>
    <w:rsid w:val="008C18A7"/>
    <w:rsid w:val="008C1FC9"/>
    <w:rsid w:val="008C24B9"/>
    <w:rsid w:val="008C5AC9"/>
    <w:rsid w:val="008F2052"/>
    <w:rsid w:val="009238BD"/>
    <w:rsid w:val="009263A5"/>
    <w:rsid w:val="00935B5E"/>
    <w:rsid w:val="009A0A66"/>
    <w:rsid w:val="009C5F56"/>
    <w:rsid w:val="009C750C"/>
    <w:rsid w:val="009E4500"/>
    <w:rsid w:val="00A168E3"/>
    <w:rsid w:val="00A27DCE"/>
    <w:rsid w:val="00A40CBB"/>
    <w:rsid w:val="00A63D60"/>
    <w:rsid w:val="00A82B18"/>
    <w:rsid w:val="00A911F0"/>
    <w:rsid w:val="00A934BB"/>
    <w:rsid w:val="00A95339"/>
    <w:rsid w:val="00AA6A3B"/>
    <w:rsid w:val="00AB52DC"/>
    <w:rsid w:val="00AC1139"/>
    <w:rsid w:val="00AC51E4"/>
    <w:rsid w:val="00AD1A69"/>
    <w:rsid w:val="00AD1B6E"/>
    <w:rsid w:val="00AD6804"/>
    <w:rsid w:val="00AD795B"/>
    <w:rsid w:val="00AE3C7C"/>
    <w:rsid w:val="00B2300A"/>
    <w:rsid w:val="00B30C97"/>
    <w:rsid w:val="00B35919"/>
    <w:rsid w:val="00B4017D"/>
    <w:rsid w:val="00B5787F"/>
    <w:rsid w:val="00B57B37"/>
    <w:rsid w:val="00B910C4"/>
    <w:rsid w:val="00B91596"/>
    <w:rsid w:val="00B935FC"/>
    <w:rsid w:val="00BD5633"/>
    <w:rsid w:val="00BF1364"/>
    <w:rsid w:val="00C03F44"/>
    <w:rsid w:val="00C3243C"/>
    <w:rsid w:val="00C3280C"/>
    <w:rsid w:val="00C375F1"/>
    <w:rsid w:val="00C5001C"/>
    <w:rsid w:val="00C6102E"/>
    <w:rsid w:val="00C71D76"/>
    <w:rsid w:val="00C8392E"/>
    <w:rsid w:val="00CA14D6"/>
    <w:rsid w:val="00CA322E"/>
    <w:rsid w:val="00CB76D8"/>
    <w:rsid w:val="00CC1530"/>
    <w:rsid w:val="00CC6ADE"/>
    <w:rsid w:val="00CD6DCE"/>
    <w:rsid w:val="00CF6F45"/>
    <w:rsid w:val="00D04F72"/>
    <w:rsid w:val="00D25691"/>
    <w:rsid w:val="00D357C5"/>
    <w:rsid w:val="00D4052E"/>
    <w:rsid w:val="00D841EC"/>
    <w:rsid w:val="00D90DDF"/>
    <w:rsid w:val="00D9437C"/>
    <w:rsid w:val="00D96DA8"/>
    <w:rsid w:val="00DB6FD8"/>
    <w:rsid w:val="00DB7E78"/>
    <w:rsid w:val="00DC0F6C"/>
    <w:rsid w:val="00DC4AB5"/>
    <w:rsid w:val="00DE4896"/>
    <w:rsid w:val="00DF744A"/>
    <w:rsid w:val="00E0585D"/>
    <w:rsid w:val="00E2178C"/>
    <w:rsid w:val="00E26EBF"/>
    <w:rsid w:val="00E37556"/>
    <w:rsid w:val="00E544FA"/>
    <w:rsid w:val="00E6333F"/>
    <w:rsid w:val="00E74F1E"/>
    <w:rsid w:val="00E959EF"/>
    <w:rsid w:val="00EA22EE"/>
    <w:rsid w:val="00F01918"/>
    <w:rsid w:val="00F0567E"/>
    <w:rsid w:val="00F24219"/>
    <w:rsid w:val="00F31147"/>
    <w:rsid w:val="00F50F79"/>
    <w:rsid w:val="00FE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02B409"/>
  <w15:chartTrackingRefBased/>
  <w15:docId w15:val="{50F5C42F-5AD5-456B-95CB-B9523EEBE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0CB"/>
  </w:style>
  <w:style w:type="paragraph" w:styleId="Overskrift1">
    <w:name w:val="heading 1"/>
    <w:basedOn w:val="Normal"/>
    <w:next w:val="Normal"/>
    <w:link w:val="Overskrift1Tegn"/>
    <w:uiPriority w:val="9"/>
    <w:qFormat/>
    <w:rsid w:val="00CC15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C15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30C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C15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C153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afsnit">
    <w:name w:val="List Paragraph"/>
    <w:basedOn w:val="Normal"/>
    <w:uiPriority w:val="34"/>
    <w:qFormat/>
    <w:rsid w:val="00CC1530"/>
    <w:pPr>
      <w:ind w:left="720"/>
      <w:contextualSpacing/>
    </w:pPr>
  </w:style>
  <w:style w:type="paragraph" w:styleId="Fodnotetekst">
    <w:name w:val="footnote text"/>
    <w:basedOn w:val="Normal"/>
    <w:link w:val="FodnotetekstTegn"/>
    <w:uiPriority w:val="99"/>
    <w:unhideWhenUsed/>
    <w:rsid w:val="00CC1530"/>
    <w:pPr>
      <w:spacing w:after="0" w:line="240" w:lineRule="auto"/>
    </w:pPr>
    <w:rPr>
      <w:sz w:val="20"/>
      <w:szCs w:val="20"/>
      <w:lang w:val="kl-GL"/>
    </w:rPr>
  </w:style>
  <w:style w:type="character" w:customStyle="1" w:styleId="FodnotetekstTegn">
    <w:name w:val="Fodnotetekst Tegn"/>
    <w:basedOn w:val="Standardskrifttypeiafsnit"/>
    <w:link w:val="Fodnotetekst"/>
    <w:uiPriority w:val="99"/>
    <w:rsid w:val="00CC1530"/>
    <w:rPr>
      <w:sz w:val="20"/>
      <w:szCs w:val="20"/>
      <w:lang w:val="kl-GL"/>
    </w:rPr>
  </w:style>
  <w:style w:type="character" w:styleId="Fodnotehenvisning">
    <w:name w:val="footnote reference"/>
    <w:basedOn w:val="Standardskrifttypeiafsnit"/>
    <w:uiPriority w:val="99"/>
    <w:semiHidden/>
    <w:unhideWhenUsed/>
    <w:rsid w:val="00CC1530"/>
    <w:rPr>
      <w:vertAlign w:val="superscript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CC153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CC1530"/>
    <w:pPr>
      <w:spacing w:line="240" w:lineRule="auto"/>
    </w:pPr>
    <w:rPr>
      <w:sz w:val="20"/>
      <w:szCs w:val="20"/>
      <w:lang w:val="kl-GL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CC1530"/>
    <w:rPr>
      <w:sz w:val="20"/>
      <w:szCs w:val="20"/>
      <w:lang w:val="kl-GL"/>
    </w:rPr>
  </w:style>
  <w:style w:type="paragraph" w:styleId="Ingenafstand">
    <w:name w:val="No Spacing"/>
    <w:uiPriority w:val="1"/>
    <w:qFormat/>
    <w:rsid w:val="002E56CD"/>
    <w:pPr>
      <w:spacing w:after="0" w:line="240" w:lineRule="auto"/>
    </w:p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07A68"/>
    <w:rPr>
      <w:b/>
      <w:bCs/>
      <w:lang w:val="da-DK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07A68"/>
    <w:rPr>
      <w:b/>
      <w:bCs/>
      <w:sz w:val="20"/>
      <w:szCs w:val="20"/>
      <w:lang w:val="kl-GL"/>
    </w:rPr>
  </w:style>
  <w:style w:type="paragraph" w:styleId="Korrektur">
    <w:name w:val="Revision"/>
    <w:hidden/>
    <w:uiPriority w:val="99"/>
    <w:semiHidden/>
    <w:rsid w:val="00E37556"/>
    <w:pPr>
      <w:spacing w:after="0" w:line="240" w:lineRule="auto"/>
    </w:pPr>
  </w:style>
  <w:style w:type="character" w:customStyle="1" w:styleId="Overskrift3Tegn">
    <w:name w:val="Overskrift 3 Tegn"/>
    <w:basedOn w:val="Standardskrifttypeiafsnit"/>
    <w:link w:val="Overskrift3"/>
    <w:uiPriority w:val="9"/>
    <w:rsid w:val="00B30C9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Standardskrifttypeiafsnit"/>
    <w:uiPriority w:val="99"/>
    <w:unhideWhenUsed/>
    <w:rsid w:val="00490363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90363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9C75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C750C"/>
  </w:style>
  <w:style w:type="paragraph" w:styleId="Sidefod">
    <w:name w:val="footer"/>
    <w:basedOn w:val="Normal"/>
    <w:link w:val="SidefodTegn"/>
    <w:uiPriority w:val="99"/>
    <w:unhideWhenUsed/>
    <w:rsid w:val="009C75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C750C"/>
  </w:style>
  <w:style w:type="character" w:customStyle="1" w:styleId="Lille1Tegn">
    <w:name w:val="Lille 1 Tegn"/>
    <w:basedOn w:val="Standardskrifttypeiafsnit"/>
    <w:link w:val="Lillev"/>
    <w:locked/>
    <w:rsid w:val="009C750C"/>
    <w:rPr>
      <w:rFonts w:ascii="Arial" w:eastAsia="Times New Roman" w:hAnsi="Arial" w:cs="Times New Roman"/>
      <w:sz w:val="14"/>
      <w:szCs w:val="24"/>
    </w:rPr>
  </w:style>
  <w:style w:type="paragraph" w:customStyle="1" w:styleId="Lillev">
    <w:name w:val="Lille v"/>
    <w:basedOn w:val="Sidehoved"/>
    <w:link w:val="Lille1Tegn"/>
    <w:qFormat/>
    <w:rsid w:val="009C750C"/>
    <w:pPr>
      <w:tabs>
        <w:tab w:val="clear" w:pos="4513"/>
        <w:tab w:val="clear" w:pos="9026"/>
      </w:tabs>
      <w:spacing w:line="200" w:lineRule="atLeast"/>
      <w:ind w:right="3289"/>
      <w:jc w:val="both"/>
    </w:pPr>
    <w:rPr>
      <w:rFonts w:ascii="Arial" w:eastAsia="Times New Roman" w:hAnsi="Arial" w:cs="Times New Roman"/>
      <w:sz w:val="1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8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alakkersuisut.gl/~/media/Nanoq/Files/Kundgoerelser/DK/2021/Bekendtgoerelser/DASelvstyrets%20bekendtgrelse%20nr%2065%20af%2020%20november%202021%20om%20restriktioner%20for%20Nuuk%20mfl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orona@nanoq.g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n@nanoq.g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7DA1D-64D0-4CA3-ADE5-AA4B988F0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1357</Words>
  <Characters>8281</Characters>
  <Application>Microsoft Office Word</Application>
  <DocSecurity>0</DocSecurity>
  <Lines>69</Lines>
  <Paragraphs>19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Christiansen</dc:creator>
  <cp:keywords/>
  <dc:description/>
  <cp:lastModifiedBy>Lisa Christiansen</cp:lastModifiedBy>
  <cp:revision>6</cp:revision>
  <cp:lastPrinted>2021-11-22T11:04:00Z</cp:lastPrinted>
  <dcterms:created xsi:type="dcterms:W3CDTF">2021-11-22T16:26:00Z</dcterms:created>
  <dcterms:modified xsi:type="dcterms:W3CDTF">2021-11-22T16:56:00Z</dcterms:modified>
</cp:coreProperties>
</file>