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2E80C" w14:textId="68EBFF87" w:rsidR="00E349E5" w:rsidRDefault="00BC4544" w:rsidP="002F04E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167778">
        <w:rPr>
          <w:b/>
          <w:noProof/>
          <w:sz w:val="44"/>
          <w:szCs w:val="44"/>
          <w:lang w:eastAsia="da-DK"/>
        </w:rPr>
        <w:drawing>
          <wp:inline distT="0" distB="0" distL="0" distR="0" wp14:anchorId="6FDB2CB0" wp14:editId="464E3CAB">
            <wp:extent cx="4163695" cy="1396365"/>
            <wp:effectExtent l="0" t="0" r="825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BD07AC" w14:textId="77777777" w:rsidR="00167778" w:rsidRDefault="00167778" w:rsidP="00167778">
      <w:pPr>
        <w:rPr>
          <w:b/>
          <w:sz w:val="44"/>
          <w:szCs w:val="44"/>
        </w:rPr>
      </w:pPr>
    </w:p>
    <w:p w14:paraId="2ADC403B" w14:textId="32A7428E" w:rsidR="009E2C16" w:rsidRDefault="0070317E" w:rsidP="008C12F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Forvaltningsplan for</w:t>
      </w:r>
      <w:r w:rsidR="00A043CD">
        <w:rPr>
          <w:b/>
          <w:sz w:val="44"/>
          <w:szCs w:val="44"/>
        </w:rPr>
        <w:t xml:space="preserve"> fiskeri efter</w:t>
      </w:r>
      <w:r>
        <w:rPr>
          <w:b/>
          <w:sz w:val="44"/>
          <w:szCs w:val="44"/>
        </w:rPr>
        <w:t xml:space="preserve"> atlantisk laks i Grønland</w:t>
      </w:r>
    </w:p>
    <w:p w14:paraId="3C742893" w14:textId="63EA13C2" w:rsidR="005648FC" w:rsidRDefault="00166781" w:rsidP="000A2EFD">
      <w:pPr>
        <w:jc w:val="center"/>
        <w:rPr>
          <w:sz w:val="28"/>
          <w:szCs w:val="28"/>
        </w:rPr>
      </w:pPr>
      <w:r>
        <w:rPr>
          <w:sz w:val="28"/>
          <w:szCs w:val="28"/>
        </w:rPr>
        <w:t>Udkast version 2</w:t>
      </w:r>
      <w:r w:rsidR="00263D54">
        <w:rPr>
          <w:sz w:val="28"/>
          <w:szCs w:val="28"/>
        </w:rPr>
        <w:t xml:space="preserve"> – </w:t>
      </w:r>
      <w:r w:rsidR="008C2A96">
        <w:rPr>
          <w:sz w:val="28"/>
          <w:szCs w:val="28"/>
        </w:rPr>
        <w:t>14</w:t>
      </w:r>
      <w:r w:rsidR="008F0382">
        <w:rPr>
          <w:sz w:val="28"/>
          <w:szCs w:val="28"/>
        </w:rPr>
        <w:t xml:space="preserve"> 0</w:t>
      </w:r>
      <w:r w:rsidR="008C2A96">
        <w:rPr>
          <w:sz w:val="28"/>
          <w:szCs w:val="28"/>
        </w:rPr>
        <w:t>4</w:t>
      </w:r>
      <w:r w:rsidR="008F0382">
        <w:rPr>
          <w:sz w:val="28"/>
          <w:szCs w:val="28"/>
        </w:rPr>
        <w:t xml:space="preserve"> 2021</w:t>
      </w:r>
    </w:p>
    <w:p w14:paraId="54FA26F0" w14:textId="77777777" w:rsidR="00263D54" w:rsidRDefault="00263D54" w:rsidP="000A2EFD">
      <w:pPr>
        <w:jc w:val="center"/>
        <w:rPr>
          <w:sz w:val="28"/>
          <w:szCs w:val="28"/>
        </w:rPr>
      </w:pPr>
    </w:p>
    <w:p w14:paraId="7A73CAA7" w14:textId="77777777" w:rsidR="00263D54" w:rsidRDefault="00263D54" w:rsidP="000A2EFD">
      <w:pPr>
        <w:jc w:val="center"/>
        <w:rPr>
          <w:sz w:val="28"/>
          <w:szCs w:val="28"/>
        </w:rPr>
      </w:pPr>
    </w:p>
    <w:p w14:paraId="3C625707" w14:textId="6F51942D" w:rsidR="00751E97" w:rsidRDefault="0070317E" w:rsidP="000A2EFD">
      <w:pPr>
        <w:jc w:val="center"/>
        <w:rPr>
          <w:sz w:val="28"/>
          <w:szCs w:val="28"/>
        </w:rPr>
      </w:pPr>
      <w:r w:rsidRPr="00662FF1">
        <w:rPr>
          <w:sz w:val="28"/>
          <w:szCs w:val="28"/>
        </w:rPr>
        <w:t>MM 2021</w:t>
      </w:r>
    </w:p>
    <w:p w14:paraId="4F456AD0" w14:textId="77777777" w:rsidR="005648FC" w:rsidRDefault="005648FC" w:rsidP="000A2EFD">
      <w:pPr>
        <w:jc w:val="center"/>
        <w:rPr>
          <w:sz w:val="28"/>
          <w:szCs w:val="28"/>
        </w:rPr>
      </w:pPr>
    </w:p>
    <w:p w14:paraId="351F9E7B" w14:textId="77777777" w:rsidR="005648FC" w:rsidRDefault="005648FC" w:rsidP="000A2EFD">
      <w:pPr>
        <w:jc w:val="center"/>
        <w:rPr>
          <w:sz w:val="28"/>
          <w:szCs w:val="28"/>
        </w:rPr>
      </w:pPr>
    </w:p>
    <w:p w14:paraId="190FA443" w14:textId="77777777" w:rsidR="005648FC" w:rsidRDefault="005648FC" w:rsidP="000A2EFD">
      <w:pPr>
        <w:jc w:val="center"/>
        <w:rPr>
          <w:sz w:val="28"/>
          <w:szCs w:val="28"/>
        </w:rPr>
      </w:pPr>
    </w:p>
    <w:p w14:paraId="081D4E13" w14:textId="77777777" w:rsidR="005648FC" w:rsidRDefault="005648FC" w:rsidP="000A2EFD">
      <w:pPr>
        <w:jc w:val="center"/>
        <w:rPr>
          <w:sz w:val="28"/>
          <w:szCs w:val="28"/>
        </w:rPr>
      </w:pPr>
      <w:r>
        <w:rPr>
          <w:sz w:val="28"/>
          <w:szCs w:val="28"/>
        </w:rPr>
        <w:t>DEPARTEMENTET FOR FISKERI, FANGST OG LANDBRUG</w:t>
      </w:r>
    </w:p>
    <w:p w14:paraId="6748D710" w14:textId="77777777" w:rsidR="005648FC" w:rsidRDefault="005648FC" w:rsidP="000A2EFD">
      <w:pPr>
        <w:jc w:val="center"/>
        <w:rPr>
          <w:sz w:val="28"/>
          <w:szCs w:val="28"/>
        </w:rPr>
      </w:pPr>
    </w:p>
    <w:p w14:paraId="706F6870" w14:textId="7ACB929B" w:rsidR="005648FC" w:rsidRDefault="005648FC" w:rsidP="000A2EFD">
      <w:pPr>
        <w:jc w:val="center"/>
        <w:rPr>
          <w:sz w:val="28"/>
          <w:szCs w:val="28"/>
        </w:rPr>
      </w:pPr>
    </w:p>
    <w:p w14:paraId="7D06728A" w14:textId="77777777" w:rsidR="00167778" w:rsidRDefault="00167778" w:rsidP="000A2EFD">
      <w:pPr>
        <w:jc w:val="center"/>
        <w:rPr>
          <w:sz w:val="28"/>
          <w:szCs w:val="28"/>
        </w:rPr>
      </w:pPr>
    </w:p>
    <w:p w14:paraId="7B652106" w14:textId="77777777" w:rsidR="00167778" w:rsidRDefault="00167778" w:rsidP="000A2EFD">
      <w:pPr>
        <w:jc w:val="center"/>
        <w:rPr>
          <w:sz w:val="28"/>
          <w:szCs w:val="28"/>
        </w:rPr>
      </w:pPr>
    </w:p>
    <w:p w14:paraId="22F185CA" w14:textId="25E723D1" w:rsidR="00751E97" w:rsidRDefault="00751E97" w:rsidP="000A2EFD">
      <w:pPr>
        <w:jc w:val="center"/>
        <w:rPr>
          <w:sz w:val="28"/>
          <w:szCs w:val="28"/>
        </w:rPr>
      </w:pPr>
    </w:p>
    <w:p w14:paraId="5F0AB75C" w14:textId="0BC79812" w:rsidR="00751E97" w:rsidRDefault="00751E97" w:rsidP="00424C69">
      <w:pPr>
        <w:pStyle w:val="Overskrift1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14644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DB3986" w14:textId="440F00CE" w:rsidR="006F57F6" w:rsidRDefault="006F57F6">
          <w:pPr>
            <w:pStyle w:val="Overskrift"/>
          </w:pPr>
          <w:r>
            <w:t>Indhold</w:t>
          </w:r>
        </w:p>
        <w:p w14:paraId="196B35DC" w14:textId="03B3A6FD" w:rsidR="00662FF1" w:rsidRDefault="006F57F6">
          <w:pPr>
            <w:pStyle w:val="Indholdsfortegnelse1"/>
            <w:rPr>
              <w:rFonts w:eastAsiaTheme="minorEastAsia"/>
              <w:noProof/>
              <w:lang w:val="kl-GL" w:eastAsia="kl-G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0320821" w:history="1">
            <w:r w:rsidR="00662FF1" w:rsidRPr="00DC3230">
              <w:rPr>
                <w:rStyle w:val="Hyperlink"/>
                <w:noProof/>
              </w:rPr>
              <w:t>1.</w:t>
            </w:r>
            <w:r w:rsidR="00662FF1">
              <w:rPr>
                <w:rFonts w:eastAsiaTheme="minorEastAsia"/>
                <w:noProof/>
                <w:lang w:val="kl-GL" w:eastAsia="kl-GL"/>
              </w:rPr>
              <w:tab/>
            </w:r>
            <w:r w:rsidR="00662FF1" w:rsidRPr="00DC3230">
              <w:rPr>
                <w:rStyle w:val="Hyperlink"/>
                <w:noProof/>
              </w:rPr>
              <w:t>Baggrund</w:t>
            </w:r>
            <w:r w:rsidR="00662FF1">
              <w:rPr>
                <w:noProof/>
                <w:webHidden/>
              </w:rPr>
              <w:tab/>
            </w:r>
            <w:r w:rsidR="00662FF1">
              <w:rPr>
                <w:noProof/>
                <w:webHidden/>
              </w:rPr>
              <w:fldChar w:fldCharType="begin"/>
            </w:r>
            <w:r w:rsidR="00662FF1">
              <w:rPr>
                <w:noProof/>
                <w:webHidden/>
              </w:rPr>
              <w:instrText xml:space="preserve"> PAGEREF _Toc70320821 \h </w:instrText>
            </w:r>
            <w:r w:rsidR="00662FF1">
              <w:rPr>
                <w:noProof/>
                <w:webHidden/>
              </w:rPr>
            </w:r>
            <w:r w:rsidR="00662FF1">
              <w:rPr>
                <w:noProof/>
                <w:webHidden/>
              </w:rPr>
              <w:fldChar w:fldCharType="separate"/>
            </w:r>
            <w:r w:rsidR="00662FF1">
              <w:rPr>
                <w:noProof/>
                <w:webHidden/>
              </w:rPr>
              <w:t>3</w:t>
            </w:r>
            <w:r w:rsidR="00662FF1">
              <w:rPr>
                <w:noProof/>
                <w:webHidden/>
              </w:rPr>
              <w:fldChar w:fldCharType="end"/>
            </w:r>
          </w:hyperlink>
        </w:p>
        <w:p w14:paraId="40FDFF0E" w14:textId="39B01E7F" w:rsidR="00662FF1" w:rsidRDefault="00662FF1">
          <w:pPr>
            <w:pStyle w:val="Indholdsfortegnelse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22" w:history="1">
            <w:r w:rsidRPr="00DC3230">
              <w:rPr>
                <w:rStyle w:val="Hyperlink"/>
                <w:noProof/>
              </w:rPr>
              <w:t>1.1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Formål og strategi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E9686" w14:textId="7C5F44B5" w:rsidR="00662FF1" w:rsidRDefault="00662FF1">
          <w:pPr>
            <w:pStyle w:val="Indholdsfortegnelse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23" w:history="1">
            <w:r w:rsidRPr="00DC3230">
              <w:rPr>
                <w:rStyle w:val="Hyperlink"/>
                <w:noProof/>
              </w:rPr>
              <w:t>1.2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Gyldighedsperiode og Revisionsbestemmelser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175BB" w14:textId="05D0DF28" w:rsidR="00662FF1" w:rsidRDefault="00662FF1">
          <w:pPr>
            <w:pStyle w:val="Indholdsfortegnelse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24" w:history="1">
            <w:r w:rsidRPr="00DC3230">
              <w:rPr>
                <w:rStyle w:val="Hyperlink"/>
                <w:noProof/>
              </w:rPr>
              <w:t>1.3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Lovgivning og Forvaltningsansvar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E8C3B" w14:textId="7062638D" w:rsidR="00662FF1" w:rsidRDefault="00662FF1">
          <w:pPr>
            <w:pStyle w:val="Indholdsfortegnelse3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25" w:history="1">
            <w:r w:rsidRPr="00DC3230">
              <w:rPr>
                <w:rStyle w:val="Hyperlink"/>
                <w:noProof/>
              </w:rPr>
              <w:t>1.3.1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NASCO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692AC" w14:textId="06F3B7EB" w:rsidR="00662FF1" w:rsidRDefault="00662FF1">
          <w:pPr>
            <w:pStyle w:val="Indholdsfortegnelse1"/>
            <w:rPr>
              <w:rFonts w:eastAsiaTheme="minorEastAsia"/>
              <w:noProof/>
              <w:lang w:val="kl-GL" w:eastAsia="kl-GL"/>
            </w:rPr>
          </w:pPr>
          <w:hyperlink w:anchor="_Toc70320826" w:history="1">
            <w:r w:rsidRPr="00DC3230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Introduktion til arten i relation til fiskeri og miljø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57ECA" w14:textId="634221D3" w:rsidR="00662FF1" w:rsidRDefault="00662FF1">
          <w:pPr>
            <w:pStyle w:val="Indholdsfortegnelse1"/>
            <w:rPr>
              <w:rFonts w:eastAsiaTheme="minorEastAsia"/>
              <w:noProof/>
              <w:lang w:val="kl-GL" w:eastAsia="kl-GL"/>
            </w:rPr>
          </w:pPr>
          <w:hyperlink w:anchor="_Toc70320827" w:history="1">
            <w:r w:rsidRPr="00DC3230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Rådgivning samt styrings- og forvaltningsprincipper i fiskeriet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DEEF7" w14:textId="6F9A0732" w:rsidR="00662FF1" w:rsidRDefault="00662FF1">
          <w:pPr>
            <w:pStyle w:val="Indholdsfortegnelse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28" w:history="1">
            <w:r w:rsidRPr="00DC3230">
              <w:rPr>
                <w:rStyle w:val="Hyperlink"/>
                <w:noProof/>
              </w:rPr>
              <w:t>3.1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Videnskabelig rådgivning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53C92" w14:textId="4AE91DC0" w:rsidR="00662FF1" w:rsidRDefault="00662FF1">
          <w:pPr>
            <w:pStyle w:val="Indholdsfortegnelse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29" w:history="1">
            <w:r w:rsidRPr="00DC3230">
              <w:rPr>
                <w:rStyle w:val="Hyperlink"/>
                <w:noProof/>
              </w:rPr>
              <w:t>3.2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Fastsættelse af TAC og kvoter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1616A" w14:textId="51840E3E" w:rsidR="00662FF1" w:rsidRDefault="00662FF1">
          <w:pPr>
            <w:pStyle w:val="Indholdsfortegnelse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30" w:history="1">
            <w:r w:rsidRPr="00DC3230">
              <w:rPr>
                <w:rStyle w:val="Hyperlink"/>
                <w:noProof/>
              </w:rPr>
              <w:t>3.3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Reguleringsmekanismer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2F812" w14:textId="300501A8" w:rsidR="00662FF1" w:rsidRDefault="00662FF1">
          <w:pPr>
            <w:pStyle w:val="Indholdsfortegnelse3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31" w:history="1">
            <w:r w:rsidRPr="00DC3230">
              <w:rPr>
                <w:rStyle w:val="Hyperlink"/>
                <w:noProof/>
              </w:rPr>
              <w:t>3.3.1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Output regulering: kvotemængder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3BF35" w14:textId="7B1A365B" w:rsidR="00662FF1" w:rsidRDefault="00662FF1">
          <w:pPr>
            <w:pStyle w:val="Indholdsfortegnelse3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32" w:history="1">
            <w:r w:rsidRPr="00DC3230">
              <w:rPr>
                <w:rStyle w:val="Hyperlink"/>
                <w:noProof/>
              </w:rPr>
              <w:t>3.3.2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Input regulering: Fiskeri kapacitet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B00B0" w14:textId="74D0444D" w:rsidR="00662FF1" w:rsidRDefault="00662FF1">
          <w:pPr>
            <w:pStyle w:val="Indholdsfortegnelse3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33" w:history="1">
            <w:r w:rsidRPr="00DC3230">
              <w:rPr>
                <w:rStyle w:val="Hyperlink"/>
                <w:noProof/>
              </w:rPr>
              <w:t>3.3.3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Områderegulering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62EC2" w14:textId="3C9CFDF9" w:rsidR="00662FF1" w:rsidRDefault="00662FF1">
          <w:pPr>
            <w:pStyle w:val="Indholdsfortegnelse3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34" w:history="1">
            <w:r w:rsidRPr="00DC3230">
              <w:rPr>
                <w:rStyle w:val="Hyperlink"/>
                <w:noProof/>
              </w:rPr>
              <w:t>3.3.4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Fiskeriperiode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CCBF9" w14:textId="3F6EB329" w:rsidR="00662FF1" w:rsidRDefault="00662FF1">
          <w:pPr>
            <w:pStyle w:val="Indholdsfortegnelse3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35" w:history="1">
            <w:r w:rsidRPr="00DC3230">
              <w:rPr>
                <w:rStyle w:val="Hyperlink"/>
                <w:noProof/>
              </w:rPr>
              <w:t>3.3.5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Tekniske bevaringsforanstaltninger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A0744" w14:textId="137BE6F9" w:rsidR="00662FF1" w:rsidRDefault="00662FF1">
          <w:pPr>
            <w:pStyle w:val="Indholdsfortegnelse3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36" w:history="1">
            <w:r w:rsidRPr="00DC3230">
              <w:rPr>
                <w:rStyle w:val="Hyperlink"/>
                <w:noProof/>
              </w:rPr>
              <w:t>3.3.6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Sårbare marine områder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5A68D" w14:textId="37F481C6" w:rsidR="00662FF1" w:rsidRDefault="00662FF1">
          <w:pPr>
            <w:pStyle w:val="Indholdsfortegnelse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37" w:history="1">
            <w:r w:rsidRPr="00DC3230">
              <w:rPr>
                <w:rStyle w:val="Hyperlink"/>
                <w:noProof/>
              </w:rPr>
              <w:t>3.4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Forvaltning af bifangst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349D0" w14:textId="2CA9279B" w:rsidR="00662FF1" w:rsidRDefault="00662FF1">
          <w:pPr>
            <w:pStyle w:val="Indholdsfortegnelse1"/>
            <w:rPr>
              <w:rFonts w:eastAsiaTheme="minorEastAsia"/>
              <w:noProof/>
              <w:lang w:val="kl-GL" w:eastAsia="kl-GL"/>
            </w:rPr>
          </w:pPr>
          <w:hyperlink w:anchor="_Toc70320838" w:history="1">
            <w:r w:rsidRPr="00DC3230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Rapportering og kontrol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37B31" w14:textId="530C43C9" w:rsidR="00662FF1" w:rsidRDefault="00662FF1">
          <w:pPr>
            <w:pStyle w:val="Indholdsfortegnelse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39" w:history="1">
            <w:r w:rsidRPr="00DC3230">
              <w:rPr>
                <w:rStyle w:val="Hyperlink"/>
                <w:noProof/>
              </w:rPr>
              <w:t>4.1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</w:rPr>
              <w:t>Rapportering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9DD57" w14:textId="7542D530" w:rsidR="00662FF1" w:rsidRDefault="00662FF1">
          <w:pPr>
            <w:pStyle w:val="Indholdsfortegnelse3"/>
            <w:tabs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40" w:history="1">
            <w:r w:rsidRPr="00DC3230">
              <w:rPr>
                <w:rStyle w:val="Hyperlink"/>
                <w:noProof/>
              </w:rPr>
              <w:t>4.1.1 Kommunikation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D4AF1" w14:textId="63E80DBE" w:rsidR="00662FF1" w:rsidRDefault="00662FF1">
          <w:pPr>
            <w:pStyle w:val="Indholdsfortegnelse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41" w:history="1">
            <w:r w:rsidRPr="00DC3230">
              <w:rPr>
                <w:rStyle w:val="Hyperlink"/>
                <w:noProof/>
                <w:lang w:val="en-US"/>
              </w:rPr>
              <w:t>4.2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noProof/>
                <w:lang w:val="en-US"/>
              </w:rPr>
              <w:t>Monitoring, Control, and Surveillance MCS)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0CE73" w14:textId="7D53985A" w:rsidR="00662FF1" w:rsidRDefault="00662FF1">
          <w:pPr>
            <w:pStyle w:val="Indholdsfortegnelse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42" w:history="1">
            <w:r w:rsidRPr="00DC3230">
              <w:rPr>
                <w:rStyle w:val="Hyperlink"/>
                <w:rFonts w:asciiTheme="majorHAnsi" w:eastAsiaTheme="majorEastAsia" w:hAnsiTheme="majorHAnsi" w:cstheme="majorBidi"/>
                <w:b/>
                <w:bCs/>
                <w:noProof/>
              </w:rPr>
              <w:t>4.3</w:t>
            </w:r>
            <w:r>
              <w:rPr>
                <w:rFonts w:eastAsiaTheme="minorEastAsia"/>
                <w:noProof/>
                <w:lang w:val="kl-GL" w:eastAsia="kl-GL"/>
              </w:rPr>
              <w:tab/>
            </w:r>
            <w:r w:rsidRPr="00DC3230">
              <w:rPr>
                <w:rStyle w:val="Hyperlink"/>
                <w:rFonts w:asciiTheme="majorHAnsi" w:eastAsiaTheme="majorEastAsia" w:hAnsiTheme="majorHAnsi" w:cstheme="majorBidi"/>
                <w:b/>
                <w:bCs/>
                <w:noProof/>
              </w:rPr>
              <w:t>Anmeldelser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CF5E2" w14:textId="40F912E4" w:rsidR="00662FF1" w:rsidRDefault="00662FF1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43" w:history="1">
            <w:r w:rsidRPr="00DC3230">
              <w:rPr>
                <w:rStyle w:val="Hyperlink"/>
                <w:noProof/>
              </w:rPr>
              <w:t>Bilag 1. Gældende lovgivning af særlig relevans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1AC5A" w14:textId="38FD2B9D" w:rsidR="00662FF1" w:rsidRDefault="00662FF1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44" w:history="1">
            <w:r w:rsidRPr="00DC3230">
              <w:rPr>
                <w:rStyle w:val="Hyperlink"/>
                <w:noProof/>
              </w:rPr>
              <w:t>Bilag 2. Fordelingsnøgle mellem forvaltningsområder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DDCF4" w14:textId="011A896C" w:rsidR="00662FF1" w:rsidRDefault="00662FF1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val="kl-GL" w:eastAsia="kl-GL"/>
            </w:rPr>
          </w:pPr>
          <w:hyperlink w:anchor="_Toc70320845" w:history="1">
            <w:r w:rsidRPr="00DC3230">
              <w:rPr>
                <w:rStyle w:val="Hyperlink"/>
                <w:noProof/>
              </w:rPr>
              <w:t>Bilag 3. Fordelingsnøgle mellem erhvervsfiskere og fritidsfiskere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_Toc70320845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AA0F8" w14:textId="71A23176" w:rsidR="006F57F6" w:rsidRDefault="006F57F6">
          <w:r>
            <w:rPr>
              <w:b/>
              <w:bCs/>
            </w:rPr>
            <w:fldChar w:fldCharType="end"/>
          </w:r>
        </w:p>
      </w:sdtContent>
    </w:sdt>
    <w:p w14:paraId="06378318" w14:textId="58C94496" w:rsidR="006F57F6" w:rsidRDefault="006F57F6" w:rsidP="006F57F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3C590AE1" w14:textId="77777777" w:rsidR="003B29BB" w:rsidRPr="006F57F6" w:rsidRDefault="003B29BB" w:rsidP="006F57F6"/>
    <w:p w14:paraId="14C6A1D8" w14:textId="17B39A88" w:rsidR="00CD0162" w:rsidRPr="003E6C27" w:rsidRDefault="00886445" w:rsidP="003E6C2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0094B30" w14:textId="1F63C6C7" w:rsidR="00E554C8" w:rsidRPr="0039264B" w:rsidRDefault="00935078" w:rsidP="009C384C">
      <w:pPr>
        <w:pStyle w:val="Overskrift1"/>
        <w:numPr>
          <w:ilvl w:val="0"/>
          <w:numId w:val="13"/>
        </w:numPr>
      </w:pPr>
      <w:bookmarkStart w:id="0" w:name="_Toc70320821"/>
      <w:r>
        <w:lastRenderedPageBreak/>
        <w:t>Baggrund</w:t>
      </w:r>
      <w:bookmarkEnd w:id="0"/>
    </w:p>
    <w:p w14:paraId="46825845" w14:textId="0FB3B56A" w:rsidR="004C3443" w:rsidRDefault="000B3331" w:rsidP="00555F29">
      <w:pPr>
        <w:pStyle w:val="Overskrift2"/>
        <w:numPr>
          <w:ilvl w:val="1"/>
          <w:numId w:val="13"/>
        </w:numPr>
      </w:pPr>
      <w:bookmarkStart w:id="1" w:name="_Toc70320822"/>
      <w:r w:rsidRPr="003C0E3B">
        <w:t>Formål og strategi</w:t>
      </w:r>
      <w:bookmarkEnd w:id="1"/>
    </w:p>
    <w:p w14:paraId="19CACCCB" w14:textId="40B15A5F" w:rsidR="00674B42" w:rsidRDefault="00674B42" w:rsidP="000C7825">
      <w:r>
        <w:t>Forvaltningsplanen har ti</w:t>
      </w:r>
      <w:r w:rsidR="00DF2C8E">
        <w:t>l hensigt at sikre den grønlandske befolkning adgang til at udnytte den</w:t>
      </w:r>
      <w:r>
        <w:t xml:space="preserve"> atlantisk laks</w:t>
      </w:r>
      <w:r w:rsidR="00581CDE">
        <w:t xml:space="preserve"> </w:t>
      </w:r>
      <w:r w:rsidR="00581CDE" w:rsidRPr="00CC4273">
        <w:t>(</w:t>
      </w:r>
      <w:r w:rsidR="00581CDE" w:rsidRPr="00CC4273">
        <w:rPr>
          <w:i/>
        </w:rPr>
        <w:t xml:space="preserve">Salmo </w:t>
      </w:r>
      <w:proofErr w:type="spellStart"/>
      <w:r w:rsidR="00581CDE" w:rsidRPr="00CC4273">
        <w:rPr>
          <w:i/>
        </w:rPr>
        <w:t>salar</w:t>
      </w:r>
      <w:proofErr w:type="spellEnd"/>
      <w:r w:rsidR="00581CDE" w:rsidRPr="00CC4273">
        <w:t>)</w:t>
      </w:r>
      <w:r w:rsidR="00DF2C8E">
        <w:t xml:space="preserve"> under hensyntagen til de internationale aftaler, som </w:t>
      </w:r>
      <w:r w:rsidR="00E32697">
        <w:t>Grønland har forpligtet sig til</w:t>
      </w:r>
      <w:r>
        <w:t xml:space="preserve">. </w:t>
      </w:r>
    </w:p>
    <w:p w14:paraId="3F0B0771" w14:textId="0779BAE7" w:rsidR="00642604" w:rsidRDefault="00DF2C8E" w:rsidP="00D22242">
      <w:pPr>
        <w:jc w:val="both"/>
      </w:pPr>
      <w:r w:rsidRPr="00DF2C8E">
        <w:t>Da laksen i l</w:t>
      </w:r>
      <w:r w:rsidR="00642604">
        <w:t>angt de fleste områder af Norda</w:t>
      </w:r>
      <w:r w:rsidRPr="00DF2C8E">
        <w:t>tlanten er i en dårlig forfatning, har stort set alle nationer med et historisk betydelig</w:t>
      </w:r>
      <w:r w:rsidR="00642604">
        <w:t>t fiskeri i havet efter laks</w:t>
      </w:r>
      <w:r w:rsidRPr="00DF2C8E">
        <w:t xml:space="preserve"> lukket deres fiskerier ned. </w:t>
      </w:r>
      <w:r w:rsidR="00642604">
        <w:t xml:space="preserve">For </w:t>
      </w:r>
      <w:proofErr w:type="spellStart"/>
      <w:r w:rsidR="00642604">
        <w:t>Naalakkersuisut</w:t>
      </w:r>
      <w:proofErr w:type="spellEnd"/>
      <w:r w:rsidR="00642604">
        <w:t xml:space="preserve"> er det vigtigt at opretholde alle borgeres ret til at forsyne sig selv,</w:t>
      </w:r>
      <w:r w:rsidR="007E4A26">
        <w:t xml:space="preserve"> hvilket også fremgår af Landstingslov om fiskeri</w:t>
      </w:r>
      <w:r w:rsidR="00704FAA">
        <w:t>.</w:t>
      </w:r>
      <w:r w:rsidR="00642604">
        <w:t xml:space="preserve"> </w:t>
      </w:r>
      <w:r w:rsidR="00704FAA">
        <w:t xml:space="preserve">Det er </w:t>
      </w:r>
      <w:r w:rsidR="00642604">
        <w:t>derfor vigtigt, at forvaltningen af fiskeriet både sikrer denne mulighed for alle borgere, samt overholder Grønlands internationale forpligtelser.</w:t>
      </w:r>
    </w:p>
    <w:p w14:paraId="2C9F4506" w14:textId="1F8F0E8D" w:rsidR="00DF2C8E" w:rsidRDefault="00642604" w:rsidP="00D22242">
      <w:pPr>
        <w:jc w:val="both"/>
      </w:pPr>
      <w:r>
        <w:t>Det væsentligste mål med denne forvaltningsplan er derfor at sikre et subsistensfiskeri, som muliggør at borgere i hele Grønland har mulighed for at forsyne sig selv med atlantisk laks, og at dem som ikke selv har mulighed for at deltage i fiskeriet kan få adgang til laks, f.eks. ved køb af atlantisk laks på lokale brætter. Derfor tillades det at erhvervsfiskere kan sælge deres fangst f.eks. via det lokale bræt</w:t>
      </w:r>
      <w:r w:rsidR="00576D7C">
        <w:t>, supermarkeder</w:t>
      </w:r>
      <w:r>
        <w:t xml:space="preserve"> eller direkte til</w:t>
      </w:r>
      <w:r w:rsidR="000A6172">
        <w:t xml:space="preserve"> private</w:t>
      </w:r>
      <w:r>
        <w:t xml:space="preserve"> institutione</w:t>
      </w:r>
      <w:r w:rsidR="000A6172">
        <w:t>r</w:t>
      </w:r>
      <w:r>
        <w:t>, for at sikre at alle borgere har adgang til laks. Fritidsfiskere kan kun fiske til eget forbrug og må ikke sælge deres fangst.</w:t>
      </w:r>
    </w:p>
    <w:p w14:paraId="634FB188" w14:textId="61E1BF88" w:rsidR="006E62AB" w:rsidRDefault="001868B9" w:rsidP="000C7825">
      <w:pPr>
        <w:jc w:val="both"/>
      </w:pPr>
      <w:r>
        <w:t xml:space="preserve">Forvaltningsplanen skal yderligere sikre, at fiskeriet forvaltes i henhold til </w:t>
      </w:r>
      <w:proofErr w:type="spellStart"/>
      <w:r>
        <w:t>NASCO</w:t>
      </w:r>
      <w:r w:rsidR="00207585">
        <w:t>’</w:t>
      </w:r>
      <w:r>
        <w:t>s</w:t>
      </w:r>
      <w:proofErr w:type="spellEnd"/>
      <w:r>
        <w:t xml:space="preserve"> retningslinjer og Grønlands internationale forp</w:t>
      </w:r>
      <w:r w:rsidR="00590D44">
        <w:t>ligtelser i Havretskonventionen</w:t>
      </w:r>
      <w:r>
        <w:t xml:space="preserve"> i forhold til forv</w:t>
      </w:r>
      <w:r w:rsidR="001C0EE9">
        <w:t>altning af fælles fiskebestande</w:t>
      </w:r>
      <w:r w:rsidR="00AB6A2A">
        <w:rPr>
          <w:rStyle w:val="Fodnotehenvisning"/>
        </w:rPr>
        <w:footnoteReference w:id="2"/>
      </w:r>
      <w:r w:rsidR="00786816">
        <w:t xml:space="preserve"> og </w:t>
      </w:r>
      <w:proofErr w:type="spellStart"/>
      <w:r w:rsidR="00786816">
        <w:t>NASCOs</w:t>
      </w:r>
      <w:proofErr w:type="spellEnd"/>
      <w:r w:rsidR="00786816">
        <w:t xml:space="preserve"> Konvention</w:t>
      </w:r>
      <w:r w:rsidR="00786816">
        <w:rPr>
          <w:rStyle w:val="Fodnotehenvisning"/>
        </w:rPr>
        <w:footnoteReference w:id="3"/>
      </w:r>
      <w:r>
        <w:t>.</w:t>
      </w:r>
    </w:p>
    <w:p w14:paraId="5D442C74" w14:textId="5F8A0F82" w:rsidR="00F67622" w:rsidRDefault="007B64FE" w:rsidP="000C7825">
      <w:pPr>
        <w:jc w:val="both"/>
      </w:pPr>
      <w:r>
        <w:t>N</w:t>
      </w:r>
      <w:r w:rsidR="00F67622">
        <w:t>ærværende forvaltningsplan</w:t>
      </w:r>
      <w:r>
        <w:t xml:space="preserve"> har</w:t>
      </w:r>
      <w:r w:rsidR="00F67622">
        <w:t xml:space="preserve"> en holistisk tilgang som tager udgangspunkt i borgernes ret til at forsyne sig selv, en bedre involvering af interessenterne samt en </w:t>
      </w:r>
      <w:r>
        <w:t xml:space="preserve">stærkere og mere stabil </w:t>
      </w:r>
      <w:r w:rsidR="00F67622">
        <w:t>forvaltning af fiskeri efter laks</w:t>
      </w:r>
      <w:r w:rsidR="00731E33">
        <w:t xml:space="preserve"> i Grønland</w:t>
      </w:r>
      <w:r w:rsidR="00F67622">
        <w:t>.</w:t>
      </w:r>
    </w:p>
    <w:p w14:paraId="01D9966E" w14:textId="5D4F97A1" w:rsidR="00CD5D14" w:rsidRDefault="00514EA0" w:rsidP="00970F0A">
      <w:pPr>
        <w:jc w:val="both"/>
      </w:pPr>
      <w:r>
        <w:t>Forvaltningsplanen dækker</w:t>
      </w:r>
      <w:r w:rsidR="00715731">
        <w:t xml:space="preserve"> de kystnære områder i hele Grønland</w:t>
      </w:r>
      <w:r w:rsidR="00AA6338">
        <w:t xml:space="preserve">, </w:t>
      </w:r>
      <w:proofErr w:type="gramStart"/>
      <w:r w:rsidR="00A31788">
        <w:t>inklusiv</w:t>
      </w:r>
      <w:proofErr w:type="gramEnd"/>
      <w:r w:rsidR="00AA6338">
        <w:t xml:space="preserve"> Østgrønland</w:t>
      </w:r>
      <w:r w:rsidR="00715731">
        <w:t xml:space="preserve">. </w:t>
      </w:r>
      <w:r w:rsidR="00674B42">
        <w:t xml:space="preserve">Det vil sige hele den del af Grønlands fiskeriterritorium der er inden for 3 sømil </w:t>
      </w:r>
      <w:r w:rsidR="00A75DD5">
        <w:t>uden for</w:t>
      </w:r>
      <w:r w:rsidR="00674B42">
        <w:t xml:space="preserve"> basislinjen. </w:t>
      </w:r>
    </w:p>
    <w:p w14:paraId="0E5D30CF" w14:textId="2F4B024A" w:rsidR="00A31788" w:rsidRDefault="00E43111" w:rsidP="00970F0A">
      <w:pPr>
        <w:jc w:val="both"/>
      </w:pPr>
      <w:r w:rsidRPr="006F5DFA">
        <w:t xml:space="preserve">Forvaltningsplanen omfatter </w:t>
      </w:r>
      <w:r w:rsidRPr="00A31788">
        <w:rPr>
          <w:i/>
          <w:iCs/>
        </w:rPr>
        <w:t>ikke</w:t>
      </w:r>
      <w:r w:rsidR="00D56205" w:rsidRPr="006F5DFA">
        <w:t xml:space="preserve"> fiskeri efter</w:t>
      </w:r>
      <w:r w:rsidR="00AA6338" w:rsidRPr="006F5DFA">
        <w:t xml:space="preserve"> </w:t>
      </w:r>
      <w:proofErr w:type="spellStart"/>
      <w:r w:rsidR="00AA6338" w:rsidRPr="006F5DFA">
        <w:t>Kapisi</w:t>
      </w:r>
      <w:r w:rsidR="006F5DFA" w:rsidRPr="006F5DFA">
        <w:t>l</w:t>
      </w:r>
      <w:r w:rsidR="00AA6338" w:rsidRPr="006F5DFA">
        <w:t>lit</w:t>
      </w:r>
      <w:proofErr w:type="spellEnd"/>
      <w:r w:rsidR="00A31788">
        <w:t>-</w:t>
      </w:r>
      <w:r w:rsidRPr="006F5DFA">
        <w:t xml:space="preserve">laks i </w:t>
      </w:r>
      <w:proofErr w:type="spellStart"/>
      <w:r w:rsidRPr="006F5DFA">
        <w:t>Kapisil</w:t>
      </w:r>
      <w:r w:rsidR="006F5DFA" w:rsidRPr="006F5DFA">
        <w:t>l</w:t>
      </w:r>
      <w:r w:rsidRPr="006F5DFA">
        <w:t>it</w:t>
      </w:r>
      <w:proofErr w:type="spellEnd"/>
      <w:r w:rsidR="00A31788">
        <w:t>-</w:t>
      </w:r>
      <w:r w:rsidR="00AA6338" w:rsidRPr="006F5DFA">
        <w:t>elven</w:t>
      </w:r>
      <w:r w:rsidR="006F5DFA">
        <w:t>, da</w:t>
      </w:r>
      <w:r w:rsidR="00A31788">
        <w:t xml:space="preserve"> bestand</w:t>
      </w:r>
      <w:r w:rsidR="00307304">
        <w:t xml:space="preserve">en af </w:t>
      </w:r>
      <w:proofErr w:type="spellStart"/>
      <w:r w:rsidR="00307304">
        <w:t>Kapisillit</w:t>
      </w:r>
      <w:proofErr w:type="spellEnd"/>
      <w:r w:rsidR="00307304">
        <w:t>-laks ikke er en del af bestanden af</w:t>
      </w:r>
      <w:r w:rsidR="006F5DFA">
        <w:t xml:space="preserve"> atlantisk laks</w:t>
      </w:r>
      <w:r w:rsidR="00A31788">
        <w:t>, og</w:t>
      </w:r>
      <w:r w:rsidR="006F5DFA">
        <w:t xml:space="preserve"> der</w:t>
      </w:r>
      <w:r w:rsidR="00A31788">
        <w:t>for</w:t>
      </w:r>
      <w:r w:rsidR="006F5DFA">
        <w:t xml:space="preserve"> forvaltes adskilt fra fiskeriet efter atlantisk laks.</w:t>
      </w:r>
      <w:r w:rsidR="00FA1869">
        <w:t xml:space="preserve"> </w:t>
      </w:r>
      <w:r w:rsidR="00A31788">
        <w:t xml:space="preserve">Ligeledes er pukkellaks </w:t>
      </w:r>
      <w:r w:rsidR="00A31788" w:rsidRPr="00514EA0">
        <w:t>(</w:t>
      </w:r>
      <w:proofErr w:type="spellStart"/>
      <w:r w:rsidR="00A31788" w:rsidRPr="00CD0348">
        <w:rPr>
          <w:i/>
        </w:rPr>
        <w:t>Oncorhynchus</w:t>
      </w:r>
      <w:proofErr w:type="spellEnd"/>
      <w:r w:rsidR="00A31788" w:rsidRPr="00CD0348">
        <w:rPr>
          <w:i/>
        </w:rPr>
        <w:t xml:space="preserve"> </w:t>
      </w:r>
      <w:proofErr w:type="spellStart"/>
      <w:r w:rsidR="00A31788" w:rsidRPr="00CD0348">
        <w:rPr>
          <w:i/>
        </w:rPr>
        <w:t>gorbuscha</w:t>
      </w:r>
      <w:proofErr w:type="spellEnd"/>
      <w:r w:rsidR="00A31788" w:rsidRPr="00514EA0">
        <w:t>),</w:t>
      </w:r>
      <w:r w:rsidR="00A3178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A31788" w:rsidRPr="00633D2E">
        <w:t>som er en anden art af laks, ikke omfattet</w:t>
      </w:r>
      <w:r w:rsidR="00A3178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af </w:t>
      </w:r>
      <w:r w:rsidR="00A31788" w:rsidRPr="00514EA0">
        <w:t>nærværende forvaltningsplan.</w:t>
      </w:r>
    </w:p>
    <w:p w14:paraId="6BA39FB4" w14:textId="77777777" w:rsidR="00662FF1" w:rsidRPr="00A31788" w:rsidRDefault="00662FF1" w:rsidP="00970F0A">
      <w:pPr>
        <w:jc w:val="both"/>
      </w:pPr>
    </w:p>
    <w:p w14:paraId="204F3F3B" w14:textId="58A7E717" w:rsidR="004C3443" w:rsidRDefault="00B17800" w:rsidP="009C384C">
      <w:pPr>
        <w:pStyle w:val="Overskrift2"/>
        <w:numPr>
          <w:ilvl w:val="1"/>
          <w:numId w:val="13"/>
        </w:numPr>
      </w:pPr>
      <w:bookmarkStart w:id="2" w:name="_Toc70320823"/>
      <w:r>
        <w:t xml:space="preserve">Gyldighedsperiode og </w:t>
      </w:r>
      <w:r w:rsidR="00BA4A95" w:rsidRPr="003C0E3B">
        <w:t>Revisionsbestemmelser</w:t>
      </w:r>
      <w:bookmarkEnd w:id="2"/>
    </w:p>
    <w:p w14:paraId="2DB60B62" w14:textId="06DAECFA" w:rsidR="003504F5" w:rsidRPr="003504F5" w:rsidRDefault="003504F5" w:rsidP="000C7825">
      <w:pPr>
        <w:jc w:val="both"/>
        <w:rPr>
          <w:highlight w:val="yellow"/>
        </w:rPr>
      </w:pPr>
      <w:r w:rsidRPr="00310A7A">
        <w:t>Denne forva</w:t>
      </w:r>
      <w:r w:rsidR="000C7825">
        <w:t xml:space="preserve">ltningsplan gælder fra </w:t>
      </w:r>
      <w:r w:rsidR="000C7825" w:rsidRPr="00662FF1">
        <w:t xml:space="preserve">1. </w:t>
      </w:r>
      <w:r w:rsidR="0059555D" w:rsidRPr="00662FF1">
        <w:t>juni</w:t>
      </w:r>
      <w:r w:rsidRPr="00662FF1">
        <w:t xml:space="preserve"> 2021 til 31. december 2025</w:t>
      </w:r>
      <w:r w:rsidRPr="00310A7A">
        <w:t xml:space="preserve">, </w:t>
      </w:r>
      <w:r w:rsidRPr="000F0F47">
        <w:t>hvorefter den</w:t>
      </w:r>
      <w:r w:rsidR="00B817C9">
        <w:t xml:space="preserve"> som udgangspunkt</w:t>
      </w:r>
      <w:r w:rsidRPr="000F0F47">
        <w:t xml:space="preserve"> </w:t>
      </w:r>
      <w:r w:rsidR="00704FAA">
        <w:t>re</w:t>
      </w:r>
      <w:r w:rsidRPr="000F0F47">
        <w:t>vurderes på grundlag af erfaring med forvaltningsplanen samt</w:t>
      </w:r>
      <w:r>
        <w:t xml:space="preserve"> den videnskabelige</w:t>
      </w:r>
      <w:r w:rsidRPr="000F0F47">
        <w:t xml:space="preserve"> rådgivning fra </w:t>
      </w:r>
      <w:r w:rsidR="00416665">
        <w:t>ICES</w:t>
      </w:r>
      <w:r w:rsidRPr="000F0F47">
        <w:t xml:space="preserve"> og høring i Fiskerirådet.  På dette grundlag </w:t>
      </w:r>
      <w:r w:rsidR="0059555D">
        <w:t>har</w:t>
      </w:r>
      <w:r w:rsidRPr="000F0F47">
        <w:t xml:space="preserve"> </w:t>
      </w:r>
      <w:proofErr w:type="spellStart"/>
      <w:r w:rsidRPr="000F0F47">
        <w:t>Naal</w:t>
      </w:r>
      <w:r>
        <w:t>akkersuisut</w:t>
      </w:r>
      <w:proofErr w:type="spellEnd"/>
      <w:r w:rsidR="0059555D">
        <w:t xml:space="preserve"> mulighed </w:t>
      </w:r>
      <w:proofErr w:type="gramStart"/>
      <w:r w:rsidR="0059555D">
        <w:t>for,</w:t>
      </w:r>
      <w:proofErr w:type="gramEnd"/>
      <w:r w:rsidR="0059555D">
        <w:t xml:space="preserve"> at</w:t>
      </w:r>
      <w:r>
        <w:t xml:space="preserve"> revidere planen, så</w:t>
      </w:r>
      <w:r w:rsidRPr="000F0F47">
        <w:t>fremt det findes ønskeligt, eller der vurderes behov herfor.</w:t>
      </w:r>
    </w:p>
    <w:p w14:paraId="3BDF7928" w14:textId="1A561018" w:rsidR="003504F5" w:rsidRDefault="003504F5" w:rsidP="000C7825">
      <w:pPr>
        <w:jc w:val="both"/>
      </w:pPr>
      <w:r w:rsidRPr="004215AA">
        <w:lastRenderedPageBreak/>
        <w:t>Hvis der konstateres større ændringer i fiskeriet</w:t>
      </w:r>
      <w:r w:rsidR="001462C6">
        <w:t xml:space="preserve">, såsom </w:t>
      </w:r>
      <w:r w:rsidR="00704FAA">
        <w:t xml:space="preserve">behov for </w:t>
      </w:r>
      <w:r w:rsidR="001462C6">
        <w:t xml:space="preserve">ændringer i </w:t>
      </w:r>
      <w:r w:rsidRPr="004215AA">
        <w:t>forvaltning, principper for rådgivning eller lignende</w:t>
      </w:r>
      <w:r w:rsidR="004F5B89">
        <w:t xml:space="preserve">, </w:t>
      </w:r>
      <w:r w:rsidRPr="004215AA">
        <w:t>kan dette i den mellemliggende periode dog også udløse en revision. Således sikres det, at forvaltningsplanen til enhver tid er retvisende og valid i forhold til det aktuelle fiskeri</w:t>
      </w:r>
      <w:r w:rsidR="0059555D">
        <w:t>.</w:t>
      </w:r>
      <w:r w:rsidR="00AC1B49">
        <w:t xml:space="preserve"> </w:t>
      </w:r>
    </w:p>
    <w:p w14:paraId="58370632" w14:textId="2C33F0F6" w:rsidR="003504F5" w:rsidRDefault="003504F5" w:rsidP="00DC1FBE">
      <w:pPr>
        <w:jc w:val="both"/>
      </w:pPr>
      <w:r>
        <w:t xml:space="preserve">Enhver ændring af forvaltningsplanen kræver godkendelse af </w:t>
      </w:r>
      <w:proofErr w:type="spellStart"/>
      <w:r>
        <w:t>Naalakkersuisut</w:t>
      </w:r>
      <w:proofErr w:type="spellEnd"/>
      <w:r>
        <w:t xml:space="preserve">, </w:t>
      </w:r>
      <w:r w:rsidRPr="00613EBE">
        <w:t xml:space="preserve">hvorimod ændringer i de medfølgende bilag kan foretages administrativt af </w:t>
      </w:r>
      <w:r>
        <w:t xml:space="preserve">Departement for </w:t>
      </w:r>
      <w:r w:rsidRPr="00613EBE">
        <w:t>Fiskeri</w:t>
      </w:r>
      <w:r w:rsidR="00690AC4">
        <w:t>,</w:t>
      </w:r>
      <w:r w:rsidRPr="00613EBE">
        <w:t xml:space="preserve"> Fangst og Landbrug.</w:t>
      </w:r>
    </w:p>
    <w:p w14:paraId="5FAFE5DB" w14:textId="77777777" w:rsidR="00662FF1" w:rsidRDefault="00662FF1" w:rsidP="00DC1FBE">
      <w:pPr>
        <w:jc w:val="both"/>
      </w:pPr>
    </w:p>
    <w:p w14:paraId="10B92151" w14:textId="26627163" w:rsidR="00924DC8" w:rsidRPr="003C0E3B" w:rsidRDefault="00924DC8" w:rsidP="009C384C">
      <w:pPr>
        <w:pStyle w:val="Overskrift2"/>
        <w:numPr>
          <w:ilvl w:val="1"/>
          <w:numId w:val="13"/>
        </w:numPr>
      </w:pPr>
      <w:bookmarkStart w:id="3" w:name="_Toc70320824"/>
      <w:r>
        <w:t xml:space="preserve">Lovgivning og </w:t>
      </w:r>
      <w:r w:rsidRPr="003C0E3B">
        <w:t>Forvaltningsansvar</w:t>
      </w:r>
      <w:bookmarkEnd w:id="3"/>
      <w:r w:rsidRPr="003C0E3B">
        <w:t xml:space="preserve"> </w:t>
      </w:r>
    </w:p>
    <w:p w14:paraId="2D725F2D" w14:textId="181B2339" w:rsidR="00663CBF" w:rsidRDefault="00663CBF" w:rsidP="00663CBF">
      <w:pPr>
        <w:jc w:val="both"/>
      </w:pPr>
      <w:r>
        <w:t>Land</w:t>
      </w:r>
      <w:r w:rsidR="007173A3">
        <w:t>s</w:t>
      </w:r>
      <w:r>
        <w:t xml:space="preserve">tingslov om fiskeri (Fiskeriloven) tillægger </w:t>
      </w:r>
      <w:proofErr w:type="spellStart"/>
      <w:r>
        <w:t>Naalakkersuisut</w:t>
      </w:r>
      <w:proofErr w:type="spellEnd"/>
      <w:r>
        <w:t xml:space="preserve"> ret til at regulere det grønlandske fiskeri. </w:t>
      </w:r>
      <w:proofErr w:type="spellStart"/>
      <w:r>
        <w:t>Naalakkersuisut</w:t>
      </w:r>
      <w:proofErr w:type="spellEnd"/>
      <w:r>
        <w:t xml:space="preserve"> fastsætter årlige </w:t>
      </w:r>
      <w:proofErr w:type="spellStart"/>
      <w:r>
        <w:t>TAC'er</w:t>
      </w:r>
      <w:proofErr w:type="spellEnd"/>
      <w:r>
        <w:t xml:space="preserve"> for fiskebestandene på Grønlands fiskeriterritorium og fordeler </w:t>
      </w:r>
      <w:proofErr w:type="spellStart"/>
      <w:r>
        <w:t>TAC'en</w:t>
      </w:r>
      <w:proofErr w:type="spellEnd"/>
      <w:r>
        <w:t xml:space="preserve"> i kvoter under hensyntagen til national lovgivning og internationale aftaler. </w:t>
      </w:r>
    </w:p>
    <w:p w14:paraId="17BA1771" w14:textId="77777777" w:rsidR="00663CBF" w:rsidRDefault="00663CBF" w:rsidP="00663CBF">
      <w:pPr>
        <w:jc w:val="both"/>
      </w:pPr>
      <w:r>
        <w:t xml:space="preserve">Forvaltningen af fiskeriet i Grønland og ansvaret herfor ligger hos </w:t>
      </w:r>
      <w:proofErr w:type="spellStart"/>
      <w:r>
        <w:t>Naalakkersuisut</w:t>
      </w:r>
      <w:proofErr w:type="spellEnd"/>
      <w:r>
        <w:t xml:space="preserve"> og </w:t>
      </w:r>
      <w:proofErr w:type="spellStart"/>
      <w:r>
        <w:t>Naalakkersuisoq</w:t>
      </w:r>
      <w:proofErr w:type="spellEnd"/>
      <w:r>
        <w:t xml:space="preserve"> for Fiskeri, Fangst og Landbrug. </w:t>
      </w:r>
      <w:proofErr w:type="spellStart"/>
      <w:r>
        <w:t>Naalakkersuisoq</w:t>
      </w:r>
      <w:proofErr w:type="spellEnd"/>
      <w:r>
        <w:t xml:space="preserve"> forbereder beslutningsforslag inden for rammerne af den gældende fiskerilovgivning. Sådanne forslag forelægges til beslutning (eller forkastelse) på de regelmæssige møder i </w:t>
      </w:r>
      <w:proofErr w:type="spellStart"/>
      <w:r>
        <w:t>Naalakkersuisut</w:t>
      </w:r>
      <w:proofErr w:type="spellEnd"/>
      <w:r>
        <w:t>.</w:t>
      </w:r>
    </w:p>
    <w:p w14:paraId="3C83E050" w14:textId="2A412332" w:rsidR="00207585" w:rsidRDefault="00663CBF" w:rsidP="00663CBF">
      <w:pPr>
        <w:jc w:val="both"/>
      </w:pPr>
      <w:r>
        <w:t xml:space="preserve">I henhold til den gældende Fiskerilov er </w:t>
      </w:r>
      <w:proofErr w:type="spellStart"/>
      <w:r>
        <w:t>Naalakkersuisoq</w:t>
      </w:r>
      <w:proofErr w:type="spellEnd"/>
      <w:r>
        <w:t xml:space="preserve"> for Fiskeri, Fangst og Landbrug forpligtet til at høre Fiskerirådet i generelle forvaltningsspørgsmål. Fiskeriloven specificerer ligeledes Fiskerirådets sammensætning.</w:t>
      </w:r>
    </w:p>
    <w:p w14:paraId="2C13CFB5" w14:textId="728F840F" w:rsidR="005E0093" w:rsidRDefault="005E0093" w:rsidP="00663CBF">
      <w:pPr>
        <w:jc w:val="both"/>
      </w:pPr>
      <w:r w:rsidRPr="00CC40B6">
        <w:t>Forvaltningen af fiskeriet efter atlantisk laks forvaltes ud over Fiskeriloven også i henhold til</w:t>
      </w:r>
      <w:r w:rsidR="0039559A" w:rsidRPr="00CC40B6">
        <w:t xml:space="preserve"> Bekendtgørelsen for fiskeri efter laks og</w:t>
      </w:r>
      <w:r w:rsidRPr="00CC40B6">
        <w:t xml:space="preserve"> </w:t>
      </w:r>
      <w:proofErr w:type="spellStart"/>
      <w:r w:rsidRPr="00CC40B6">
        <w:t>NASCO</w:t>
      </w:r>
      <w:r w:rsidR="00207585" w:rsidRPr="00CC40B6">
        <w:t>’</w:t>
      </w:r>
      <w:r w:rsidRPr="00CC40B6">
        <w:t>s</w:t>
      </w:r>
      <w:proofErr w:type="spellEnd"/>
      <w:r w:rsidRPr="00CC40B6">
        <w:t xml:space="preserve"> flerårige forvaltningsreguleringer</w:t>
      </w:r>
      <w:r w:rsidR="00762952" w:rsidRPr="00CC40B6">
        <w:t xml:space="preserve"> i den Vestgrønlandske Kommission</w:t>
      </w:r>
      <w:r w:rsidRPr="00CC40B6">
        <w:t>.</w:t>
      </w:r>
    </w:p>
    <w:p w14:paraId="06CA1F33" w14:textId="77777777" w:rsidR="00662FF1" w:rsidRDefault="00662FF1" w:rsidP="00663CBF">
      <w:pPr>
        <w:jc w:val="both"/>
      </w:pPr>
    </w:p>
    <w:p w14:paraId="26776ABE" w14:textId="77777777" w:rsidR="00B41824" w:rsidRPr="003504F5" w:rsidRDefault="00B41824" w:rsidP="00B41824">
      <w:pPr>
        <w:pStyle w:val="Overskrift3"/>
        <w:numPr>
          <w:ilvl w:val="2"/>
          <w:numId w:val="13"/>
        </w:numPr>
      </w:pPr>
      <w:bookmarkStart w:id="4" w:name="_Toc70320825"/>
      <w:r>
        <w:t>NASCO</w:t>
      </w:r>
      <w:bookmarkEnd w:id="4"/>
    </w:p>
    <w:p w14:paraId="01442D8B" w14:textId="0A0C012C" w:rsidR="00B41824" w:rsidRDefault="00F205EB" w:rsidP="00663CBF">
      <w:pPr>
        <w:jc w:val="both"/>
      </w:pPr>
      <w:r>
        <w:t xml:space="preserve">Den Nordatlantiske Organisation for Bevarelse af laksen (North Atlantic Salmon </w:t>
      </w:r>
      <w:proofErr w:type="spellStart"/>
      <w:r w:rsidRPr="00621CE4">
        <w:t>Conservation</w:t>
      </w:r>
      <w:proofErr w:type="spellEnd"/>
      <w:r>
        <w:t xml:space="preserve"> Organisation – NASCO) blev oprettet i 1984 med ansvar for bevarelse, genopbygning, forøgelse og rationel forvaltning af vild laks i Nordatlanten. Selvom staterne fastholder deres rolle i regulering af laksefiskeriet for laks som oprinder i deres egne floder, så er blandingsfiskeri, såsom fisker</w:t>
      </w:r>
      <w:r w:rsidR="0028092A">
        <w:t>iet ved Grønland og Færøerne, som</w:t>
      </w:r>
      <w:r>
        <w:t xml:space="preserve"> fisker på laks der stammer fra andre landes floder, reguleret under </w:t>
      </w:r>
      <w:proofErr w:type="spellStart"/>
      <w:r>
        <w:t>NASCOs</w:t>
      </w:r>
      <w:proofErr w:type="spellEnd"/>
      <w:r>
        <w:t xml:space="preserve"> konvention.</w:t>
      </w:r>
    </w:p>
    <w:p w14:paraId="46AB9B85" w14:textId="0D0DFC04" w:rsidR="00F205EB" w:rsidRDefault="00F205EB" w:rsidP="00663CBF">
      <w:pPr>
        <w:jc w:val="both"/>
      </w:pPr>
      <w:r>
        <w:t xml:space="preserve">Følgende stater er medlem af NASCO; Canada, Danmark på vegne af Færøerne og Grønland (DFG), </w:t>
      </w:r>
      <w:r w:rsidR="00DF41A1">
        <w:t xml:space="preserve">EU, </w:t>
      </w:r>
      <w:r>
        <w:t>Norge, Rusland, Storbritannien og USA.</w:t>
      </w:r>
    </w:p>
    <w:p w14:paraId="7D7733CB" w14:textId="26321641" w:rsidR="00F205EB" w:rsidRDefault="00F205EB" w:rsidP="00663CBF">
      <w:pPr>
        <w:jc w:val="both"/>
      </w:pPr>
      <w:proofErr w:type="spellStart"/>
      <w:r>
        <w:t>NASCOs</w:t>
      </w:r>
      <w:proofErr w:type="spellEnd"/>
      <w:r>
        <w:t xml:space="preserve"> formål er ”</w:t>
      </w:r>
      <w:r w:rsidR="0028092A" w:rsidRPr="008C2A96">
        <w:rPr>
          <w:i/>
        </w:rPr>
        <w:t>at bevare, genopbygge, forøge og rationel</w:t>
      </w:r>
      <w:r w:rsidRPr="008C2A96">
        <w:rPr>
          <w:i/>
        </w:rPr>
        <w:t xml:space="preserve"> forvaltnin</w:t>
      </w:r>
      <w:r w:rsidR="0028092A" w:rsidRPr="008C2A96">
        <w:rPr>
          <w:i/>
        </w:rPr>
        <w:t xml:space="preserve">g af Atlantisk laks igennem </w:t>
      </w:r>
      <w:r w:rsidR="0000496A" w:rsidRPr="008C2A96">
        <w:rPr>
          <w:i/>
        </w:rPr>
        <w:t>internationalt samarbejde</w:t>
      </w:r>
      <w:r w:rsidR="0028092A" w:rsidRPr="008C2A96">
        <w:rPr>
          <w:i/>
        </w:rPr>
        <w:t>, under hensyntagen til den bedste tilgængelige videnskabelige information</w:t>
      </w:r>
      <w:r w:rsidR="0028092A">
        <w:t>.”</w:t>
      </w:r>
    </w:p>
    <w:p w14:paraId="61007FDA" w14:textId="63A60903" w:rsidR="008F4923" w:rsidRDefault="008F4923" w:rsidP="00663CBF">
      <w:pPr>
        <w:jc w:val="both"/>
      </w:pPr>
      <w:proofErr w:type="spellStart"/>
      <w:r>
        <w:t>NASCOs</w:t>
      </w:r>
      <w:proofErr w:type="spellEnd"/>
      <w:r>
        <w:t xml:space="preserve"> Action Plan for anvendelse af forsigtighedsprincippet (1998) giver en udlægning af hvordan dette kan opnås:</w:t>
      </w:r>
    </w:p>
    <w:p w14:paraId="73B4A6E8" w14:textId="04C44ADF" w:rsidR="008F4923" w:rsidRPr="003C0E3B" w:rsidRDefault="008F4923" w:rsidP="00663CBF">
      <w:pPr>
        <w:jc w:val="both"/>
      </w:pPr>
      <w:r>
        <w:t>”</w:t>
      </w:r>
      <w:r w:rsidRPr="008C2A96">
        <w:rPr>
          <w:i/>
        </w:rPr>
        <w:t xml:space="preserve">Forvaltningstiltag bør have til formål at bibeholde alle bestanden over deres </w:t>
      </w:r>
      <w:r w:rsidR="00AC1B49" w:rsidRPr="008C2A96">
        <w:rPr>
          <w:i/>
        </w:rPr>
        <w:t>’</w:t>
      </w:r>
      <w:proofErr w:type="spellStart"/>
      <w:r w:rsidRPr="008C2A96">
        <w:rPr>
          <w:i/>
        </w:rPr>
        <w:t>conservation</w:t>
      </w:r>
      <w:proofErr w:type="spellEnd"/>
      <w:r w:rsidRPr="008C2A96">
        <w:rPr>
          <w:i/>
        </w:rPr>
        <w:t xml:space="preserve"> limits</w:t>
      </w:r>
      <w:r w:rsidR="00AC1B49" w:rsidRPr="008C2A96">
        <w:rPr>
          <w:i/>
        </w:rPr>
        <w:t>’</w:t>
      </w:r>
      <w:r w:rsidRPr="008C2A96">
        <w:rPr>
          <w:i/>
        </w:rPr>
        <w:t xml:space="preserve"> ved at bruge forvaltningsmål.” ”Socioøkonomiske faktorer skal også tages i betragtning i anvendelsen af</w:t>
      </w:r>
      <w:r w:rsidR="0089745D" w:rsidRPr="008C2A96">
        <w:rPr>
          <w:i/>
        </w:rPr>
        <w:t xml:space="preserve"> </w:t>
      </w:r>
      <w:r w:rsidR="0089745D" w:rsidRPr="008C2A96">
        <w:rPr>
          <w:i/>
        </w:rPr>
        <w:lastRenderedPageBreak/>
        <w:t xml:space="preserve">forsigtighedsprincippet i fiskeriforvaltning.” ”Forsigtighedsprincippet er en integreret tilgang som kræver, bestandsgenopbygningsprogrammer (inklusiv som passende, habitats forbedringer, bestandsforøgelse, og fiskeriforvaltningstiltag) udvikles for bestande som er under deres </w:t>
      </w:r>
      <w:r w:rsidR="00AC1B49" w:rsidRPr="008C2A96">
        <w:rPr>
          <w:i/>
        </w:rPr>
        <w:t>’</w:t>
      </w:r>
      <w:proofErr w:type="spellStart"/>
      <w:r w:rsidR="0089745D" w:rsidRPr="008C2A96">
        <w:rPr>
          <w:i/>
        </w:rPr>
        <w:t>conservation</w:t>
      </w:r>
      <w:proofErr w:type="spellEnd"/>
      <w:r w:rsidR="0089745D" w:rsidRPr="008C2A96">
        <w:rPr>
          <w:i/>
        </w:rPr>
        <w:t xml:space="preserve"> limit</w:t>
      </w:r>
      <w:r w:rsidR="00AC1B49" w:rsidRPr="008C2A96">
        <w:rPr>
          <w:i/>
        </w:rPr>
        <w:t>’</w:t>
      </w:r>
      <w:r w:rsidR="0089745D">
        <w:t>”.</w:t>
      </w:r>
    </w:p>
    <w:p w14:paraId="1024A942" w14:textId="3651E1FC" w:rsidR="00BE1D5C" w:rsidRPr="003C0E3B" w:rsidRDefault="00BE1D5C" w:rsidP="00935078">
      <w:pPr>
        <w:pStyle w:val="Overskrift1"/>
        <w:numPr>
          <w:ilvl w:val="0"/>
          <w:numId w:val="13"/>
        </w:numPr>
      </w:pPr>
      <w:bookmarkStart w:id="5" w:name="_Toc70320826"/>
      <w:r w:rsidRPr="003C0E3B">
        <w:t xml:space="preserve">Introduktion </w:t>
      </w:r>
      <w:r w:rsidR="004B5BBA">
        <w:t>til arten i relation til fiskeri og miljø</w:t>
      </w:r>
      <w:bookmarkEnd w:id="5"/>
    </w:p>
    <w:p w14:paraId="6CB966D3" w14:textId="50848AE1" w:rsidR="00471008" w:rsidRDefault="00471008" w:rsidP="00471008">
      <w:pPr>
        <w:jc w:val="both"/>
      </w:pPr>
      <w:r>
        <w:t>Atlanterhavs laks (</w:t>
      </w:r>
      <w:r w:rsidRPr="00662FF1">
        <w:rPr>
          <w:i/>
          <w:iCs/>
        </w:rPr>
        <w:t xml:space="preserve">Salmo </w:t>
      </w:r>
      <w:proofErr w:type="spellStart"/>
      <w:r w:rsidRPr="00662FF1">
        <w:rPr>
          <w:i/>
          <w:iCs/>
        </w:rPr>
        <w:t>salar</w:t>
      </w:r>
      <w:proofErr w:type="spellEnd"/>
      <w:r>
        <w:t>) begynder sit liv i floder og elve i lande der har kyststrækninger mod den Nor</w:t>
      </w:r>
      <w:r w:rsidR="001F6A99">
        <w:t>dlige del af Atlanterhavet. De e</w:t>
      </w:r>
      <w:r>
        <w:t xml:space="preserve">uropæiske bestande strækker sig fra Portugal og Spanien i syd til Rusland i nord. I den Vestlige del af Atlanterhavet findes atlanterhavslaks fra New England (USA) i syd til subarktisk Canada i Nord (Labrador og Quebec). </w:t>
      </w:r>
    </w:p>
    <w:p w14:paraId="4113B960" w14:textId="77777777" w:rsidR="00471008" w:rsidRDefault="00471008" w:rsidP="00471008">
      <w:pPr>
        <w:jc w:val="both"/>
      </w:pPr>
      <w:r>
        <w:t xml:space="preserve">Atlanterhavs laks er en </w:t>
      </w:r>
      <w:proofErr w:type="spellStart"/>
      <w:r>
        <w:t>anadrom</w:t>
      </w:r>
      <w:proofErr w:type="spellEnd"/>
      <w:r>
        <w:t xml:space="preserve"> art, hvilket betyder at laksen gyder i ferskvand og migrerer til havet under opvæksten. Gydningen foregår i ferskvand i en flod eller en elv, hvor den også tilbringer de første leveår. Gydning sker typisk fra oktober til januar. Æggene frigives og befrugtes i udgravninger i vandløb med bund af sten af passende størrelse. </w:t>
      </w:r>
    </w:p>
    <w:p w14:paraId="1F2EA6E9" w14:textId="7A52D774" w:rsidR="00471008" w:rsidRDefault="00471008" w:rsidP="00471008">
      <w:pPr>
        <w:jc w:val="both"/>
      </w:pPr>
      <w:r>
        <w:t xml:space="preserve">Ynglen lever de første år i elven, men efter 1 til 6 år skifter lakseynglen udseende og bliver mere blank og gylden. Det kaldes at laksen </w:t>
      </w:r>
      <w:proofErr w:type="spellStart"/>
      <w:r>
        <w:t>smoltificerer</w:t>
      </w:r>
      <w:proofErr w:type="spellEnd"/>
      <w:r>
        <w:t xml:space="preserve">. For sydlige bestande sker </w:t>
      </w:r>
      <w:proofErr w:type="spellStart"/>
      <w:r>
        <w:t>smoltificeringen</w:t>
      </w:r>
      <w:proofErr w:type="spellEnd"/>
      <w:r>
        <w:t xml:space="preserve"> allerede efter 1 til 2 år men for de nordlige bestande, som </w:t>
      </w:r>
      <w:proofErr w:type="spellStart"/>
      <w:r>
        <w:t>f.eks</w:t>
      </w:r>
      <w:proofErr w:type="spellEnd"/>
      <w:r>
        <w:t xml:space="preserve"> </w:t>
      </w:r>
      <w:proofErr w:type="spellStart"/>
      <w:r>
        <w:t>Kapisillit</w:t>
      </w:r>
      <w:proofErr w:type="spellEnd"/>
      <w:r>
        <w:t xml:space="preserve"> elvens bestand sker det først efter 4 til 6 år. Under </w:t>
      </w:r>
      <w:proofErr w:type="spellStart"/>
      <w:r>
        <w:t>smoltificeringen</w:t>
      </w:r>
      <w:proofErr w:type="spellEnd"/>
      <w:r>
        <w:t xml:space="preserve"> tilpasser lakseynglen sig fysiologisk til opholdet i saltvand. </w:t>
      </w:r>
      <w:proofErr w:type="spellStart"/>
      <w:r>
        <w:t>Smolten</w:t>
      </w:r>
      <w:proofErr w:type="spellEnd"/>
      <w:r>
        <w:t xml:space="preserve"> svømmer derefter mod havet</w:t>
      </w:r>
      <w:r w:rsidR="00AC1B49">
        <w:t xml:space="preserve"> på en fødevandring</w:t>
      </w:r>
      <w:r>
        <w:t xml:space="preserve">, hvor den tilbringer 1 eller flere år. </w:t>
      </w:r>
    </w:p>
    <w:p w14:paraId="7364A946" w14:textId="79791085" w:rsidR="005B7025" w:rsidRDefault="00471008" w:rsidP="00471008">
      <w:pPr>
        <w:jc w:val="both"/>
      </w:pPr>
      <w:r>
        <w:t>Under fødevandringen i havet vokser laksen hurtigere end i ferskvand, da fødeforholdene i havet er langt bedre end i de</w:t>
      </w:r>
      <w:r w:rsidR="00AC1B49">
        <w:t>n</w:t>
      </w:r>
      <w:r>
        <w:t xml:space="preserve"> er i floder og elve hvor laksen voksede op. I havet migrerer laksen tusindvis af kilometer til områder hvor stor koncentration af føde forefindes, såsom Barentshavet eller Grønlands kyst. I Grønland er den foretrukne føde Lodde, 10-armede blæksprutter, </w:t>
      </w:r>
      <w:proofErr w:type="spellStart"/>
      <w:r>
        <w:t>krill</w:t>
      </w:r>
      <w:proofErr w:type="spellEnd"/>
      <w:r>
        <w:t xml:space="preserve"> </w:t>
      </w:r>
      <w:r w:rsidR="00AC1B49">
        <w:t>samt</w:t>
      </w:r>
      <w:r>
        <w:t xml:space="preserve"> et lille pelagisklevende krebsdyr der kaldes </w:t>
      </w:r>
      <w:proofErr w:type="spellStart"/>
      <w:r>
        <w:t>temisto</w:t>
      </w:r>
      <w:proofErr w:type="spellEnd"/>
      <w:r>
        <w:t xml:space="preserve">. </w:t>
      </w:r>
    </w:p>
    <w:p w14:paraId="1FAA9A46" w14:textId="26AC8AEF" w:rsidR="00471008" w:rsidRDefault="00471008" w:rsidP="00471008">
      <w:pPr>
        <w:jc w:val="both"/>
      </w:pPr>
      <w:r>
        <w:t>Når laksen har vokset sig stor nok, søger langt de fl</w:t>
      </w:r>
      <w:r w:rsidR="006D0EF7">
        <w:t>este af de nu gydemodne laks</w:t>
      </w:r>
      <w:r>
        <w:t xml:space="preserve"> tilbage til den flod eller elv</w:t>
      </w:r>
      <w:r w:rsidR="008D49A5">
        <w:t>,</w:t>
      </w:r>
      <w:r>
        <w:t xml:space="preserve"> hvor de selv blev </w:t>
      </w:r>
      <w:r w:rsidR="00F80397">
        <w:t xml:space="preserve">klækket </w:t>
      </w:r>
      <w:r>
        <w:t>mange år tidligere (</w:t>
      </w:r>
      <w:r w:rsidR="00AC1B49">
        <w:t>”</w:t>
      </w:r>
      <w:proofErr w:type="spellStart"/>
      <w:r>
        <w:t>homing</w:t>
      </w:r>
      <w:proofErr w:type="spellEnd"/>
      <w:r w:rsidR="00AC1B49">
        <w:t>”</w:t>
      </w:r>
      <w:r>
        <w:t>). Hovedparten af de laks der fanges i Grønland</w:t>
      </w:r>
      <w:r w:rsidR="005D2A84">
        <w:t>,</w:t>
      </w:r>
      <w:r>
        <w:t xml:space="preserve"> har opholdt sig i havet </w:t>
      </w:r>
      <w:r w:rsidR="008D49A5">
        <w:t xml:space="preserve">i </w:t>
      </w:r>
      <w:r>
        <w:t>1 år</w:t>
      </w:r>
      <w:r w:rsidR="00F80397">
        <w:t xml:space="preserve"> og opnået en størrelse på 55-65 cm</w:t>
      </w:r>
      <w:r>
        <w:t xml:space="preserve"> og vil</w:t>
      </w:r>
      <w:r w:rsidR="00AC1B49">
        <w:t>le</w:t>
      </w:r>
      <w:r>
        <w:t xml:space="preserve"> først</w:t>
      </w:r>
      <w:r w:rsidR="00AC1B49">
        <w:t xml:space="preserve"> have</w:t>
      </w:r>
      <w:r>
        <w:t xml:space="preserve"> returnere</w:t>
      </w:r>
      <w:r w:rsidR="008D49A5">
        <w:t>t</w:t>
      </w:r>
      <w:r>
        <w:t xml:space="preserve"> til deres elv som store laks der ha</w:t>
      </w:r>
      <w:r w:rsidR="00F80397">
        <w:t>vde</w:t>
      </w:r>
      <w:r>
        <w:t xml:space="preserve"> opholdt sig 2 eller flere år i havet. Små laks</w:t>
      </w:r>
      <w:r w:rsidR="008D49A5">
        <w:t>,</w:t>
      </w:r>
      <w:r>
        <w:t xml:space="preserve"> der er returneret til deres hjemelv for at gyde allerede som etårige, har derfor ikke været i Grønland under deres fødevandring. Andelen af </w:t>
      </w:r>
      <w:r w:rsidR="008D49A5">
        <w:t>1-</w:t>
      </w:r>
      <w:r>
        <w:t xml:space="preserve">årige laks i floderne i Europa og Nordamerika er derfor ikke direkte påvirket af det grønlandske fiskeri, men kun indirekte via påvirkningen af rekrutteringen fra </w:t>
      </w:r>
      <w:r w:rsidR="00F80397">
        <w:t>s</w:t>
      </w:r>
      <w:r>
        <w:t xml:space="preserve">tore gydende laks. </w:t>
      </w:r>
    </w:p>
    <w:p w14:paraId="6EED3F60" w14:textId="071EFE9C" w:rsidR="00471008" w:rsidRDefault="00471008" w:rsidP="00471008">
      <w:pPr>
        <w:jc w:val="both"/>
      </w:pPr>
      <w:r>
        <w:t>En del af atlanterhavslaksene bliver så udmattede af gydevandringen, at de dør efter gydningen</w:t>
      </w:r>
      <w:r w:rsidR="00F80397">
        <w:t>.</w:t>
      </w:r>
      <w:r>
        <w:t xml:space="preserve"> </w:t>
      </w:r>
      <w:r w:rsidR="00F80397">
        <w:t xml:space="preserve">I sammenligning med </w:t>
      </w:r>
      <w:r>
        <w:t>mange arter af Stillehavs</w:t>
      </w:r>
      <w:r w:rsidR="00F80397">
        <w:t xml:space="preserve"> </w:t>
      </w:r>
      <w:r>
        <w:t xml:space="preserve">laks, </w:t>
      </w:r>
      <w:r w:rsidR="00F80397">
        <w:t xml:space="preserve">er det dog </w:t>
      </w:r>
      <w:r>
        <w:t>en betydelig del af Atlanterhavs</w:t>
      </w:r>
      <w:r w:rsidR="00F80397">
        <w:t xml:space="preserve"> </w:t>
      </w:r>
      <w:r>
        <w:t xml:space="preserve">laksene </w:t>
      </w:r>
      <w:r w:rsidR="00F80397">
        <w:t xml:space="preserve">der </w:t>
      </w:r>
      <w:r>
        <w:t>overleve</w:t>
      </w:r>
      <w:r w:rsidR="00F80397">
        <w:t>r</w:t>
      </w:r>
      <w:r>
        <w:t xml:space="preserve"> gydningen og </w:t>
      </w:r>
      <w:r w:rsidR="00F80397">
        <w:t xml:space="preserve">derefter </w:t>
      </w:r>
      <w:r>
        <w:t>foretage</w:t>
      </w:r>
      <w:r w:rsidR="00F80397">
        <w:t>r</w:t>
      </w:r>
      <w:r>
        <w:t xml:space="preserve"> en ny fødevandring til havet. Laks der har gydt flere </w:t>
      </w:r>
      <w:proofErr w:type="gramStart"/>
      <w:r>
        <w:t>gange</w:t>
      </w:r>
      <w:proofErr w:type="gramEnd"/>
      <w:r>
        <w:t xml:space="preserve"> er meget store (+100cm) og kaldes flergangs </w:t>
      </w:r>
      <w:proofErr w:type="spellStart"/>
      <w:r>
        <w:t>gydere</w:t>
      </w:r>
      <w:proofErr w:type="spellEnd"/>
      <w:r>
        <w:t xml:space="preserve"> (</w:t>
      </w:r>
      <w:proofErr w:type="spellStart"/>
      <w:r>
        <w:t>repeat</w:t>
      </w:r>
      <w:proofErr w:type="spellEnd"/>
      <w:r>
        <w:t xml:space="preserve"> </w:t>
      </w:r>
      <w:proofErr w:type="spellStart"/>
      <w:r>
        <w:t>spawners</w:t>
      </w:r>
      <w:proofErr w:type="spellEnd"/>
      <w:r>
        <w:t xml:space="preserve">). </w:t>
      </w:r>
    </w:p>
    <w:p w14:paraId="1EA53ED0" w14:textId="087CA5F4" w:rsidR="00471008" w:rsidRDefault="00471008" w:rsidP="00471008">
      <w:pPr>
        <w:jc w:val="both"/>
      </w:pPr>
      <w:r>
        <w:t>Selve migrationsruterne i havet kan være meget forskellige</w:t>
      </w:r>
      <w:r w:rsidR="00F80397">
        <w:t xml:space="preserve"> fra</w:t>
      </w:r>
      <w:r>
        <w:t xml:space="preserve"> område til område og kendes endnu ikke fuldt ud. Men sikkert er det dog at ikke alle laks i Nordatlanten migrerer helt til Grønland for at søge føde, selvom mange figurer over laksenes vandringer i havet antyder det. Laks</w:t>
      </w:r>
      <w:r w:rsidR="00D31E21">
        <w:t>,</w:t>
      </w:r>
      <w:r>
        <w:t xml:space="preserve"> der gennemfører fødevandringer </w:t>
      </w:r>
      <w:r>
        <w:lastRenderedPageBreak/>
        <w:t>helt til Grønland</w:t>
      </w:r>
      <w:r w:rsidR="00905BF5">
        <w:t>,</w:t>
      </w:r>
      <w:r>
        <w:t xml:space="preserve"> vil returne</w:t>
      </w:r>
      <w:r w:rsidR="006D0EF7">
        <w:t>re til Europa</w:t>
      </w:r>
      <w:r>
        <w:t xml:space="preserve"> eller Nordamerika, som store laks der har opholdt sig 2 eller flere år i havet. </w:t>
      </w:r>
    </w:p>
    <w:p w14:paraId="327A2304" w14:textId="46B78B7C" w:rsidR="005E4C72" w:rsidRDefault="00471008" w:rsidP="00471008">
      <w:pPr>
        <w:jc w:val="both"/>
      </w:pPr>
      <w:r>
        <w:t>Den store grad af ”</w:t>
      </w:r>
      <w:proofErr w:type="spellStart"/>
      <w:r>
        <w:t>homing</w:t>
      </w:r>
      <w:proofErr w:type="spellEnd"/>
      <w:r>
        <w:t>” betyder også at laks i havet udgøres af laks fra mange forskellige bestande, som igen separ</w:t>
      </w:r>
      <w:r w:rsidR="00F80397">
        <w:t>eres i individuelle</w:t>
      </w:r>
      <w:r>
        <w:t xml:space="preserve"> flodbestande, når laksene returnerer for at gyde i sin egen bestands elv eller flod.  </w:t>
      </w:r>
      <w:r w:rsidR="00276BB3">
        <w:t xml:space="preserve">Laksen vender typisk tilbage til deres oprindelsesflod efter 1 til 2 år til havs for selv at gyde. </w:t>
      </w:r>
    </w:p>
    <w:p w14:paraId="51D4BE0B" w14:textId="77777777" w:rsidR="00DC1FBE" w:rsidRDefault="005E4C72" w:rsidP="00DC1FBE">
      <w:pPr>
        <w:keepNext/>
        <w:spacing w:after="0"/>
        <w:jc w:val="both"/>
      </w:pPr>
      <w:r>
        <w:rPr>
          <w:noProof/>
          <w:lang w:eastAsia="da-DK"/>
        </w:rPr>
        <w:drawing>
          <wp:inline distT="0" distB="0" distL="0" distR="0" wp14:anchorId="1B56F3EE" wp14:editId="70B063E8">
            <wp:extent cx="6504167" cy="3772803"/>
            <wp:effectExtent l="0" t="0" r="0" b="0"/>
            <wp:docPr id="1" name="Billede 1" descr="C:\Users\sifr\AppData\Local\cBrain\F2\.tmp\59910300\Rivers-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fr\AppData\Local\cBrain\F2\.tmp\59910300\Rivers-Da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8" r="11487"/>
                    <a:stretch/>
                  </pic:blipFill>
                  <pic:spPr bwMode="auto">
                    <a:xfrm>
                      <a:off x="0" y="0"/>
                      <a:ext cx="6535883" cy="3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488C03" w14:textId="562FFDC5" w:rsidR="00DC1FBE" w:rsidRPr="00DC1FBE" w:rsidRDefault="00DC1FBE" w:rsidP="00DC1FBE">
      <w:pPr>
        <w:pStyle w:val="Billedtekst"/>
        <w:spacing w:after="0"/>
        <w:jc w:val="both"/>
        <w:rPr>
          <w:b/>
          <w:bCs/>
          <w:i w:val="0"/>
          <w:iCs w:val="0"/>
          <w:color w:val="auto"/>
          <w:sz w:val="20"/>
          <w:szCs w:val="20"/>
        </w:rPr>
      </w:pPr>
      <w:r w:rsidRPr="00DC1FBE">
        <w:rPr>
          <w:b/>
          <w:bCs/>
          <w:i w:val="0"/>
          <w:iCs w:val="0"/>
          <w:color w:val="auto"/>
          <w:sz w:val="20"/>
          <w:szCs w:val="20"/>
        </w:rPr>
        <w:t xml:space="preserve">Figur </w:t>
      </w:r>
      <w:r w:rsidRPr="00DC1FBE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DC1FBE">
        <w:rPr>
          <w:b/>
          <w:bCs/>
          <w:i w:val="0"/>
          <w:iCs w:val="0"/>
          <w:color w:val="auto"/>
          <w:sz w:val="20"/>
          <w:szCs w:val="20"/>
        </w:rPr>
        <w:instrText xml:space="preserve"> SEQ Figur \* ARABIC </w:instrText>
      </w:r>
      <w:r w:rsidRPr="00DC1FBE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DC1FBE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DC1FBE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DC1FBE">
        <w:rPr>
          <w:b/>
          <w:bCs/>
          <w:i w:val="0"/>
          <w:iCs w:val="0"/>
          <w:color w:val="auto"/>
          <w:sz w:val="20"/>
          <w:szCs w:val="20"/>
        </w:rPr>
        <w:t xml:space="preserve"> Kort over den atlantiske laks’ migrationsruter</w:t>
      </w:r>
    </w:p>
    <w:p w14:paraId="756ACBBC" w14:textId="793D58A2" w:rsidR="005E4C72" w:rsidRDefault="00DC1FBE" w:rsidP="00DC1FBE">
      <w:pPr>
        <w:spacing w:after="0"/>
        <w:rPr>
          <w:sz w:val="20"/>
          <w:szCs w:val="20"/>
          <w:lang w:val="en-GB"/>
        </w:rPr>
      </w:pPr>
      <w:proofErr w:type="spellStart"/>
      <w:r w:rsidRPr="00DC1FBE">
        <w:rPr>
          <w:sz w:val="20"/>
          <w:szCs w:val="20"/>
          <w:lang w:val="en-US"/>
        </w:rPr>
        <w:t>Kilde</w:t>
      </w:r>
      <w:proofErr w:type="spellEnd"/>
      <w:r w:rsidRPr="00DC1FBE">
        <w:rPr>
          <w:sz w:val="20"/>
          <w:szCs w:val="20"/>
          <w:lang w:val="en-US"/>
        </w:rPr>
        <w:t>: T</w:t>
      </w:r>
      <w:r w:rsidR="00FA79FC" w:rsidRPr="00DC1FBE">
        <w:rPr>
          <w:sz w:val="20"/>
          <w:szCs w:val="20"/>
          <w:lang w:val="en-US"/>
        </w:rPr>
        <w:t xml:space="preserve">he </w:t>
      </w:r>
      <w:r w:rsidR="005E4C72" w:rsidRPr="00DC1FBE">
        <w:rPr>
          <w:sz w:val="20"/>
          <w:szCs w:val="20"/>
          <w:lang w:val="en-GB"/>
        </w:rPr>
        <w:t>State of North Atlantic Salmon</w:t>
      </w:r>
      <w:r w:rsidR="00FA79FC" w:rsidRPr="00DC1FBE">
        <w:rPr>
          <w:sz w:val="20"/>
          <w:szCs w:val="20"/>
          <w:lang w:val="en-GB"/>
        </w:rPr>
        <w:t xml:space="preserve"> Report, NASCO 2019</w:t>
      </w:r>
    </w:p>
    <w:p w14:paraId="417E2940" w14:textId="14E6DF9E" w:rsidR="00982F94" w:rsidRDefault="00982F94" w:rsidP="00DC1FBE">
      <w:pPr>
        <w:spacing w:after="0"/>
        <w:rPr>
          <w:sz w:val="20"/>
          <w:szCs w:val="20"/>
          <w:lang w:val="en-GB"/>
        </w:rPr>
      </w:pPr>
    </w:p>
    <w:p w14:paraId="3A22A141" w14:textId="01C881A0" w:rsidR="008C2BBE" w:rsidRDefault="00982F94" w:rsidP="001B0EF1">
      <w:pPr>
        <w:spacing w:after="0"/>
        <w:jc w:val="both"/>
      </w:pPr>
      <w:r w:rsidRPr="00982F94">
        <w:t>Fiskeriet efter laks</w:t>
      </w:r>
      <w:r w:rsidR="009B696B">
        <w:t xml:space="preserve"> i Grønland foregår kystnært</w:t>
      </w:r>
      <w:r w:rsidR="00C44E8F">
        <w:t xml:space="preserve">, dvs. inden for 3 sømil fra basislinjen med joller eller mindre </w:t>
      </w:r>
      <w:r w:rsidR="004A4491">
        <w:t xml:space="preserve">kystnære </w:t>
      </w:r>
      <w:r w:rsidR="00C44E8F">
        <w:t>fartøjer</w:t>
      </w:r>
      <w:r w:rsidR="008C2BBE">
        <w:t xml:space="preserve"> (under 42 fod)</w:t>
      </w:r>
      <w:r w:rsidR="00C44E8F">
        <w:t>.</w:t>
      </w:r>
      <w:r w:rsidR="00C34E43">
        <w:t xml:space="preserve"> Fiskeriet foregår primært i Vestgrønland, men der fiskes også efter laks i Østgrønland.</w:t>
      </w:r>
      <w:r w:rsidR="00C44E8F">
        <w:t xml:space="preserve"> </w:t>
      </w:r>
      <w:r w:rsidR="008612E1">
        <w:t>Erhvervsf</w:t>
      </w:r>
      <w:r w:rsidR="00C44E8F">
        <w:t>iskerne bruger lak</w:t>
      </w:r>
      <w:r w:rsidR="008612E1">
        <w:t>segarn eller kroge</w:t>
      </w:r>
      <w:r w:rsidR="00C44E8F">
        <w:t>.</w:t>
      </w:r>
      <w:r w:rsidR="008612E1">
        <w:t xml:space="preserve"> </w:t>
      </w:r>
      <w:r w:rsidR="00C44E8F">
        <w:t>Garn er det pr</w:t>
      </w:r>
      <w:r w:rsidR="00680386">
        <w:t>imære r</w:t>
      </w:r>
      <w:r w:rsidR="004A4491">
        <w:t>edskab</w:t>
      </w:r>
      <w:r w:rsidR="00680386">
        <w:t>,</w:t>
      </w:r>
      <w:r w:rsidR="004A4491">
        <w:t xml:space="preserve"> men</w:t>
      </w:r>
      <w:r w:rsidR="00680386">
        <w:t xml:space="preserve"> nogle fritidsfiskere bruger også fiskestang. Garnene røgtes løbende og erhvervsfiskerne kan sælge deres fangst, imens fritidsfiskerne </w:t>
      </w:r>
      <w:r w:rsidR="005D457C">
        <w:t xml:space="preserve">kun </w:t>
      </w:r>
      <w:r w:rsidR="00680386">
        <w:t xml:space="preserve">kan fiske til eget forbrug. </w:t>
      </w:r>
    </w:p>
    <w:p w14:paraId="7C51D509" w14:textId="77777777" w:rsidR="008C2BBE" w:rsidRDefault="008C2BBE" w:rsidP="001B0EF1">
      <w:pPr>
        <w:spacing w:after="0"/>
        <w:jc w:val="both"/>
      </w:pPr>
    </w:p>
    <w:p w14:paraId="781D6213" w14:textId="48FBBBE2" w:rsidR="00982F94" w:rsidRDefault="003F6789" w:rsidP="001B0EF1">
      <w:pPr>
        <w:spacing w:after="0"/>
        <w:jc w:val="both"/>
      </w:pPr>
      <w:r>
        <w:t>Fiskeri efter laks er et subsistensfiskeri og der fiskes derfor kun til intern</w:t>
      </w:r>
      <w:r w:rsidR="00905BF5">
        <w:t>t</w:t>
      </w:r>
      <w:r>
        <w:t xml:space="preserve"> forbrug i Grønland.</w:t>
      </w:r>
    </w:p>
    <w:p w14:paraId="7C639F25" w14:textId="77777777" w:rsidR="00662FF1" w:rsidRPr="00982F94" w:rsidRDefault="00662FF1" w:rsidP="001B0EF1">
      <w:pPr>
        <w:spacing w:after="0"/>
        <w:jc w:val="both"/>
      </w:pPr>
    </w:p>
    <w:p w14:paraId="38C711A9" w14:textId="06987CE0" w:rsidR="00B124FF" w:rsidRPr="009575CE" w:rsidRDefault="00242BA3" w:rsidP="00935078">
      <w:pPr>
        <w:pStyle w:val="Overskrift1"/>
        <w:numPr>
          <w:ilvl w:val="0"/>
          <w:numId w:val="13"/>
        </w:numPr>
      </w:pPr>
      <w:bookmarkStart w:id="6" w:name="_Toc70320827"/>
      <w:r>
        <w:t xml:space="preserve">Rådgivning samt </w:t>
      </w:r>
      <w:r w:rsidR="0091544D">
        <w:t>s</w:t>
      </w:r>
      <w:r w:rsidR="00B124FF" w:rsidRPr="009575CE">
        <w:t>tyring</w:t>
      </w:r>
      <w:r w:rsidR="00C17189" w:rsidRPr="009575CE">
        <w:t>s-</w:t>
      </w:r>
      <w:r>
        <w:t xml:space="preserve"> og forvaltnings</w:t>
      </w:r>
      <w:r w:rsidR="00C17189" w:rsidRPr="009575CE">
        <w:t>principper</w:t>
      </w:r>
      <w:r w:rsidR="00B124FF" w:rsidRPr="009575CE">
        <w:t xml:space="preserve"> i fiskeriet</w:t>
      </w:r>
      <w:bookmarkEnd w:id="6"/>
    </w:p>
    <w:p w14:paraId="3813C449" w14:textId="48B8B636" w:rsidR="00DC4DFF" w:rsidRPr="009575CE" w:rsidRDefault="0091544D" w:rsidP="00555F29">
      <w:pPr>
        <w:pStyle w:val="Overskrift2"/>
        <w:numPr>
          <w:ilvl w:val="1"/>
          <w:numId w:val="13"/>
        </w:numPr>
      </w:pPr>
      <w:bookmarkStart w:id="7" w:name="_Toc70320828"/>
      <w:r>
        <w:t>Videnskabelig r</w:t>
      </w:r>
      <w:r w:rsidR="00DC4DFF">
        <w:t>ådgivning</w:t>
      </w:r>
      <w:bookmarkEnd w:id="7"/>
      <w:r w:rsidR="00B30498">
        <w:t xml:space="preserve"> </w:t>
      </w:r>
    </w:p>
    <w:p w14:paraId="5EF78054" w14:textId="77777777" w:rsidR="00D75495" w:rsidRDefault="00D75495" w:rsidP="008525F7">
      <w:pPr>
        <w:pStyle w:val="Listeafsnit"/>
        <w:ind w:left="360"/>
        <w:jc w:val="both"/>
      </w:pPr>
    </w:p>
    <w:p w14:paraId="0D43ED98" w14:textId="0A6EF469" w:rsidR="00F00E21" w:rsidRDefault="00DB125E" w:rsidP="00DB125E">
      <w:pPr>
        <w:pStyle w:val="Listeafsnit"/>
        <w:ind w:left="0"/>
        <w:jc w:val="both"/>
      </w:pPr>
      <w:r w:rsidRPr="00DB125E">
        <w:lastRenderedPageBreak/>
        <w:t xml:space="preserve">Den videnskabelige rådgivning udarbejdes af International Council for Exploration of the Sea (ICES). Rådgivningen gives for en 3-årig periode og evalueres årligt i slutningen af marts af </w:t>
      </w:r>
      <w:proofErr w:type="gramStart"/>
      <w:r w:rsidRPr="00DB125E">
        <w:t>ICES arbejdsgruppen</w:t>
      </w:r>
      <w:proofErr w:type="gramEnd"/>
      <w:r w:rsidRPr="00DB125E">
        <w:t xml:space="preserve"> WGNAS</w:t>
      </w:r>
      <w:r>
        <w:rPr>
          <w:rStyle w:val="Fodnotehenvisning"/>
        </w:rPr>
        <w:footnoteReference w:id="4"/>
      </w:r>
      <w:r w:rsidRPr="00DB125E">
        <w:t xml:space="preserve">. I arbejdsgruppen samles og evalueres data fra laksebestande i hele Nordatlanten. </w:t>
      </w:r>
    </w:p>
    <w:p w14:paraId="58EAF131" w14:textId="77777777" w:rsidR="00F00E21" w:rsidRDefault="00F00E21" w:rsidP="00DB125E">
      <w:pPr>
        <w:pStyle w:val="Listeafsnit"/>
        <w:ind w:left="0"/>
        <w:jc w:val="both"/>
      </w:pPr>
    </w:p>
    <w:p w14:paraId="0E1BA0A9" w14:textId="09397AAE" w:rsidR="00DB125E" w:rsidRDefault="00DB125E" w:rsidP="00DB125E">
      <w:pPr>
        <w:pStyle w:val="Listeafsnit"/>
        <w:ind w:left="0"/>
        <w:jc w:val="both"/>
      </w:pPr>
      <w:r w:rsidRPr="00DB125E">
        <w:t xml:space="preserve">ICES opdeler rådgivningen i 3 overordnede områder; Nordøst Atlanten (NEAC), Nord Amerika (NAC) og Vest Grønland (WGC). </w:t>
      </w:r>
      <w:r w:rsidR="00621CE4">
        <w:t xml:space="preserve"> </w:t>
      </w:r>
      <w:r w:rsidRPr="00DB125E">
        <w:t xml:space="preserve">Rådgivningen eller evalueringen af den seneste rådgivning, præsenteres for alle kontraherende parter i NASCO hvert år. </w:t>
      </w:r>
    </w:p>
    <w:p w14:paraId="7C388658" w14:textId="64577AD4" w:rsidR="00F00E21" w:rsidRDefault="00F00E21" w:rsidP="00DB125E">
      <w:pPr>
        <w:pStyle w:val="Listeafsnit"/>
        <w:ind w:left="0"/>
        <w:jc w:val="both"/>
      </w:pPr>
    </w:p>
    <w:p w14:paraId="0B100B28" w14:textId="23084070" w:rsidR="00F00E21" w:rsidRDefault="00CC6F0A" w:rsidP="00F00E21">
      <w:pPr>
        <w:pStyle w:val="Listeafsnit"/>
        <w:ind w:left="0"/>
        <w:jc w:val="center"/>
      </w:pPr>
      <w:r w:rsidRPr="00CC6F0A">
        <w:rPr>
          <w:noProof/>
          <w:lang w:eastAsia="da-DK"/>
        </w:rPr>
        <w:drawing>
          <wp:inline distT="0" distB="0" distL="0" distR="0" wp14:anchorId="2036AE72" wp14:editId="03A1E5D8">
            <wp:extent cx="6120130" cy="3976135"/>
            <wp:effectExtent l="0" t="0" r="0" b="571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7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22762" w14:textId="78D6D387" w:rsidR="00F00E21" w:rsidRPr="009F2142" w:rsidRDefault="00F00E21" w:rsidP="00F00E21">
      <w:pPr>
        <w:pStyle w:val="Listeafsnit"/>
        <w:ind w:left="0"/>
        <w:rPr>
          <w:b/>
          <w:sz w:val="20"/>
          <w:szCs w:val="20"/>
        </w:rPr>
      </w:pPr>
      <w:r w:rsidRPr="009F2142">
        <w:rPr>
          <w:b/>
          <w:sz w:val="20"/>
          <w:szCs w:val="20"/>
        </w:rPr>
        <w:t xml:space="preserve">Figur 2 Kort over </w:t>
      </w:r>
      <w:proofErr w:type="spellStart"/>
      <w:r w:rsidRPr="009F2142">
        <w:rPr>
          <w:b/>
          <w:sz w:val="20"/>
          <w:szCs w:val="20"/>
        </w:rPr>
        <w:t>NASCOs</w:t>
      </w:r>
      <w:proofErr w:type="spellEnd"/>
      <w:r w:rsidRPr="009F2142">
        <w:rPr>
          <w:b/>
          <w:sz w:val="20"/>
          <w:szCs w:val="20"/>
        </w:rPr>
        <w:t xml:space="preserve"> Kommissionsområder                          </w:t>
      </w:r>
    </w:p>
    <w:p w14:paraId="6B3DD6D5" w14:textId="48436056" w:rsidR="00F00E21" w:rsidRPr="009F2142" w:rsidRDefault="00CC6F0A" w:rsidP="00F00E21">
      <w:pPr>
        <w:pStyle w:val="Listeafsnit"/>
        <w:ind w:left="0"/>
        <w:rPr>
          <w:sz w:val="20"/>
          <w:szCs w:val="20"/>
        </w:rPr>
      </w:pPr>
      <w:r>
        <w:rPr>
          <w:sz w:val="20"/>
          <w:szCs w:val="20"/>
        </w:rPr>
        <w:t xml:space="preserve">Kilde: </w:t>
      </w:r>
      <w:proofErr w:type="gramStart"/>
      <w:r>
        <w:rPr>
          <w:sz w:val="20"/>
          <w:szCs w:val="20"/>
        </w:rPr>
        <w:t>NASCO hjemmeside</w:t>
      </w:r>
      <w:proofErr w:type="gramEnd"/>
    </w:p>
    <w:p w14:paraId="54EF2C90" w14:textId="1DB45FE8" w:rsidR="00DB125E" w:rsidRPr="00DB125E" w:rsidRDefault="00DB125E" w:rsidP="00DB125E">
      <w:pPr>
        <w:pStyle w:val="Listeafsnit"/>
        <w:ind w:left="0"/>
        <w:jc w:val="both"/>
      </w:pPr>
    </w:p>
    <w:p w14:paraId="52CF56BF" w14:textId="20ED00EE" w:rsidR="00B173A2" w:rsidRDefault="00DB125E" w:rsidP="00DB125E">
      <w:pPr>
        <w:pStyle w:val="Listeafsnit"/>
        <w:ind w:left="0"/>
        <w:jc w:val="both"/>
      </w:pPr>
      <w:r w:rsidRPr="00DB125E">
        <w:t xml:space="preserve">Laks </w:t>
      </w:r>
      <w:r w:rsidR="00822329">
        <w:t xml:space="preserve">der fanges langs kysten i </w:t>
      </w:r>
      <w:proofErr w:type="gramStart"/>
      <w:r w:rsidR="00822329">
        <w:t>Vestg</w:t>
      </w:r>
      <w:r w:rsidRPr="00DB125E">
        <w:t>røn</w:t>
      </w:r>
      <w:r w:rsidR="00822329">
        <w:t>land</w:t>
      </w:r>
      <w:proofErr w:type="gramEnd"/>
      <w:r w:rsidR="00822329">
        <w:t xml:space="preserve"> stammer hovedsageligt fra europæiske og n</w:t>
      </w:r>
      <w:r w:rsidRPr="00DB125E">
        <w:t xml:space="preserve">ordamerikanske bestande. Bestanden af laks i </w:t>
      </w:r>
      <w:proofErr w:type="spellStart"/>
      <w:r w:rsidRPr="00DB125E">
        <w:t>Kapisillit</w:t>
      </w:r>
      <w:proofErr w:type="spellEnd"/>
      <w:r w:rsidRPr="00DB125E">
        <w:t xml:space="preserve"> elven er så lille, at </w:t>
      </w:r>
      <w:r w:rsidR="005D457C">
        <w:t xml:space="preserve">dennes </w:t>
      </w:r>
      <w:r w:rsidRPr="00DB125E">
        <w:t>bidrag til fiskeriet efter laks langs Grønlands kyst er ubetydelig.</w:t>
      </w:r>
      <w:r w:rsidR="005D457C">
        <w:t xml:space="preserve"> Desuden </w:t>
      </w:r>
      <w:r w:rsidR="00040F1D">
        <w:t>høre</w:t>
      </w:r>
      <w:r w:rsidR="00F72959">
        <w:t>r</w:t>
      </w:r>
      <w:r w:rsidR="005D457C">
        <w:t xml:space="preserve"> denne laksebestand ikke under samme forvaltning eller kvote.</w:t>
      </w:r>
      <w:r w:rsidRPr="00DB125E">
        <w:t xml:space="preserve"> </w:t>
      </w:r>
    </w:p>
    <w:p w14:paraId="781DD390" w14:textId="77777777" w:rsidR="00B173A2" w:rsidRDefault="00B173A2" w:rsidP="00DB125E">
      <w:pPr>
        <w:pStyle w:val="Listeafsnit"/>
        <w:ind w:left="0"/>
        <w:jc w:val="both"/>
      </w:pPr>
    </w:p>
    <w:p w14:paraId="768D80DA" w14:textId="25294134" w:rsidR="00DB125E" w:rsidRPr="00DB125E" w:rsidRDefault="00DB125E" w:rsidP="00DB125E">
      <w:pPr>
        <w:pStyle w:val="Listeafsnit"/>
        <w:ind w:left="0"/>
        <w:jc w:val="both"/>
      </w:pPr>
      <w:r w:rsidRPr="00DB125E">
        <w:t xml:space="preserve">Fiskeriet i Grønland og Færøerne er et såkaldt blandingsfiskeri (mixed </w:t>
      </w:r>
      <w:proofErr w:type="spellStart"/>
      <w:r w:rsidRPr="00DB125E">
        <w:t>stock</w:t>
      </w:r>
      <w:proofErr w:type="spellEnd"/>
      <w:r w:rsidRPr="00DB125E">
        <w:t xml:space="preserve"> </w:t>
      </w:r>
      <w:proofErr w:type="spellStart"/>
      <w:r w:rsidRPr="00DB125E">
        <w:t>fishery</w:t>
      </w:r>
      <w:proofErr w:type="spellEnd"/>
      <w:r w:rsidRPr="00DB125E">
        <w:t>), hvor der samtidi</w:t>
      </w:r>
      <w:r w:rsidR="001D5E89">
        <w:t>g fiskes på en lang række flod- og</w:t>
      </w:r>
      <w:r w:rsidRPr="00DB125E">
        <w:t xml:space="preserve"> elvbestande</w:t>
      </w:r>
      <w:r w:rsidR="00F72959">
        <w:t xml:space="preserve"> fra andre lande</w:t>
      </w:r>
      <w:r w:rsidRPr="00DB125E">
        <w:t>.  For at finde ud af hvilke regioner og bestande fiskeriet i Grønland påvirker</w:t>
      </w:r>
      <w:r w:rsidR="00B46034">
        <w:t>,</w:t>
      </w:r>
      <w:r w:rsidRPr="00DB125E">
        <w:t xml:space="preserve"> indsamles der hvert år prøver fra det grønlandske fiskeri efter laks. DNA prøver og fangstmængder bruges til at </w:t>
      </w:r>
      <w:r w:rsidR="002E66F6">
        <w:t>identificere</w:t>
      </w:r>
      <w:r w:rsidR="002E66F6" w:rsidRPr="00DB125E">
        <w:t xml:space="preserve"> </w:t>
      </w:r>
      <w:r w:rsidR="002E66F6">
        <w:t xml:space="preserve">hvor store andele der oprinder </w:t>
      </w:r>
      <w:r w:rsidRPr="00DB125E">
        <w:t>fra</w:t>
      </w:r>
      <w:r w:rsidR="002E66F6">
        <w:t xml:space="preserve"> de</w:t>
      </w:r>
      <w:r w:rsidRPr="00DB125E">
        <w:t xml:space="preserve"> forskellige regioner. ICES estimerede i 2020, baseret på det vestgrønlandske prøvetagningsprogram, at 72 % af laksen </w:t>
      </w:r>
      <w:r w:rsidRPr="00DB125E">
        <w:lastRenderedPageBreak/>
        <w:t>der migrerer til Grønland</w:t>
      </w:r>
      <w:r w:rsidR="002E66F6">
        <w:t>sk farvand,</w:t>
      </w:r>
      <w:r w:rsidRPr="00DB125E">
        <w:t xml:space="preserve"> stammer fra nordamerikanske floder og at 28 % kommer fra europæiske floder, primært irske og engelske floder. Fangstdata</w:t>
      </w:r>
      <w:r w:rsidR="002E66F6">
        <w:t xml:space="preserve">, inklusivt </w:t>
      </w:r>
      <w:r w:rsidR="00485DA9">
        <w:t>oprindelsesidentificeringen</w:t>
      </w:r>
      <w:r w:rsidR="002E66F6">
        <w:t xml:space="preserve"> </w:t>
      </w:r>
      <w:r w:rsidRPr="00DB125E">
        <w:t>af fangsterne</w:t>
      </w:r>
      <w:r w:rsidR="002E66F6">
        <w:t>,</w:t>
      </w:r>
      <w:r w:rsidRPr="00DB125E">
        <w:t xml:space="preserve"> kombineres så med optællinger af returnerende laks i de forskellige regioner. Data fra fiskeriet og antallet af returnerende laks (Publiceret i en årlig ”Framework of </w:t>
      </w:r>
      <w:proofErr w:type="spellStart"/>
      <w:r w:rsidRPr="00DB125E">
        <w:t>Indicators</w:t>
      </w:r>
      <w:proofErr w:type="spellEnd"/>
      <w:r w:rsidRPr="00DB125E">
        <w:t xml:space="preserve">” rapport til NASCO) samles i matematiske model hvor antallet af laks før fiskeriet estimeres. </w:t>
      </w:r>
      <w:r w:rsidR="002E66F6">
        <w:t>I modellen bliver der også taget højde for den naturlige dødelighed til havs samt i ”</w:t>
      </w:r>
      <w:proofErr w:type="spellStart"/>
      <w:r w:rsidR="002E66F6">
        <w:t>homing</w:t>
      </w:r>
      <w:proofErr w:type="spellEnd"/>
      <w:r w:rsidR="002E66F6">
        <w:t xml:space="preserve">” migrationen. Det endelige resultat er et estimat for </w:t>
      </w:r>
      <w:r w:rsidR="00701547">
        <w:t xml:space="preserve">påvirkningen af lakse </w:t>
      </w:r>
      <w:r w:rsidR="002E66F6">
        <w:t xml:space="preserve">fiskeriet </w:t>
      </w:r>
      <w:r w:rsidR="00701547">
        <w:t>på</w:t>
      </w:r>
      <w:r w:rsidRPr="00DB125E">
        <w:t xml:space="preserve"> </w:t>
      </w:r>
      <w:r w:rsidR="00701547">
        <w:t xml:space="preserve">de individuelle </w:t>
      </w:r>
      <w:r w:rsidRPr="00DB125E">
        <w:t xml:space="preserve">laksebestande. </w:t>
      </w:r>
    </w:p>
    <w:p w14:paraId="2D9524A8" w14:textId="77777777" w:rsidR="00DB125E" w:rsidRPr="00DB125E" w:rsidRDefault="00DB125E" w:rsidP="00DB125E">
      <w:pPr>
        <w:pStyle w:val="Listeafsnit"/>
        <w:ind w:left="0"/>
        <w:jc w:val="both"/>
      </w:pPr>
    </w:p>
    <w:p w14:paraId="04C1D973" w14:textId="0113F582" w:rsidR="009B0481" w:rsidRDefault="00DB125E" w:rsidP="00DB125E">
      <w:pPr>
        <w:pStyle w:val="Listeafsnit"/>
        <w:ind w:left="0"/>
        <w:jc w:val="both"/>
      </w:pPr>
      <w:r w:rsidRPr="00DB125E">
        <w:t>Atlanterhavs laks har de karakteristika som gælder for fiskebestande med kort levetid. Den voksne del af bestanden er meget følsom for udsving i rekrutteringen, fordi den voksne gydebestand kun består af få årgange. På samme måde er den del af bestanden</w:t>
      </w:r>
      <w:r w:rsidR="00701547">
        <w:t xml:space="preserve"> der kan fiskes på</w:t>
      </w:r>
      <w:r w:rsidRPr="00DB125E">
        <w:t xml:space="preserve"> også afhængig af udsving i indkommende årgange. For </w:t>
      </w:r>
      <w:r w:rsidR="00701547">
        <w:t>disse følsomme</w:t>
      </w:r>
      <w:r w:rsidR="00701547" w:rsidRPr="00DB125E">
        <w:t xml:space="preserve"> </w:t>
      </w:r>
      <w:r w:rsidRPr="00DB125E">
        <w:t xml:space="preserve">arter søger ICES Maximum </w:t>
      </w:r>
      <w:proofErr w:type="spellStart"/>
      <w:r w:rsidRPr="00DB125E">
        <w:t>sustainable</w:t>
      </w:r>
      <w:proofErr w:type="spellEnd"/>
      <w:r w:rsidRPr="00DB125E">
        <w:t xml:space="preserve"> </w:t>
      </w:r>
      <w:proofErr w:type="spellStart"/>
      <w:r w:rsidRPr="00DB125E">
        <w:t>yield</w:t>
      </w:r>
      <w:proofErr w:type="spellEnd"/>
      <w:r w:rsidRPr="00DB125E">
        <w:t xml:space="preserve"> (MSY) tilgangen at opnå en tilstrækkelig gydebiomasse (MSY </w:t>
      </w:r>
      <w:proofErr w:type="spellStart"/>
      <w:r w:rsidRPr="00DB125E">
        <w:t>B</w:t>
      </w:r>
      <w:r w:rsidRPr="00DB125E">
        <w:rPr>
          <w:vertAlign w:val="subscript"/>
        </w:rPr>
        <w:t>escapement</w:t>
      </w:r>
      <w:proofErr w:type="spellEnd"/>
      <w:r w:rsidRPr="00DB125E">
        <w:t xml:space="preserve">) </w:t>
      </w:r>
      <w:r w:rsidR="00701547">
        <w:t>for</w:t>
      </w:r>
      <w:r w:rsidRPr="00DB125E">
        <w:t xml:space="preserve"> at sikre en lav risiko for negativ påvirkning af rekrutteringen. For laks har denne tilgang medført forvaltningsmål for individuelle elve (river-</w:t>
      </w:r>
      <w:proofErr w:type="spellStart"/>
      <w:r w:rsidRPr="00DB125E">
        <w:t>specific</w:t>
      </w:r>
      <w:proofErr w:type="spellEnd"/>
      <w:r w:rsidRPr="00DB125E">
        <w:t xml:space="preserve"> </w:t>
      </w:r>
      <w:proofErr w:type="spellStart"/>
      <w:r w:rsidRPr="00DB125E">
        <w:t>conservation</w:t>
      </w:r>
      <w:proofErr w:type="spellEnd"/>
      <w:r w:rsidRPr="00DB125E">
        <w:t xml:space="preserve"> limits) i antal returnerende laks. Da mange lakseelve ikke har fastsatte forvaltningsmål</w:t>
      </w:r>
      <w:r w:rsidR="00701547">
        <w:t>,</w:t>
      </w:r>
      <w:r w:rsidRPr="00DB125E">
        <w:t xml:space="preserve"> og da det samtidig ikke er muligt at moniterer alle bestande, bruges der til monitering af laksebestandene indikator elve med fastsatte referencepunkter (</w:t>
      </w:r>
      <w:proofErr w:type="spellStart"/>
      <w:r w:rsidRPr="00DB125E">
        <w:t>Conservation</w:t>
      </w:r>
      <w:proofErr w:type="spellEnd"/>
      <w:r w:rsidRPr="00DB125E">
        <w:t xml:space="preserve"> limits i antal returnerende laks)</w:t>
      </w:r>
      <w:r w:rsidR="00701547">
        <w:t>.</w:t>
      </w:r>
      <w:r w:rsidRPr="00DB125E">
        <w:t xml:space="preserve"> </w:t>
      </w:r>
      <w:r w:rsidR="00701547">
        <w:t>R</w:t>
      </w:r>
      <w:r w:rsidRPr="00DB125E">
        <w:t xml:space="preserve">esultaterne af optællingerne samles årligt i en rapport (se ”framework of </w:t>
      </w:r>
      <w:proofErr w:type="spellStart"/>
      <w:r w:rsidRPr="00DB125E">
        <w:t>indicators</w:t>
      </w:r>
      <w:proofErr w:type="spellEnd"/>
      <w:r w:rsidRPr="00DB125E">
        <w:t xml:space="preserve">”). </w:t>
      </w:r>
    </w:p>
    <w:p w14:paraId="050C55D5" w14:textId="77777777" w:rsidR="009B0481" w:rsidRDefault="009B0481" w:rsidP="00DB125E">
      <w:pPr>
        <w:pStyle w:val="Listeafsnit"/>
        <w:ind w:left="0"/>
        <w:jc w:val="both"/>
      </w:pPr>
    </w:p>
    <w:p w14:paraId="4DAC0571" w14:textId="62489D0E" w:rsidR="00DB125E" w:rsidRPr="00DB125E" w:rsidRDefault="00DB125E" w:rsidP="00DB125E">
      <w:pPr>
        <w:pStyle w:val="Listeafsnit"/>
        <w:ind w:left="0"/>
        <w:jc w:val="both"/>
      </w:pPr>
      <w:r w:rsidRPr="00DB125E">
        <w:t xml:space="preserve">I forhold til rådgivningen for fiskeriet efter laks ved </w:t>
      </w:r>
      <w:r w:rsidR="00051283">
        <w:t>G</w:t>
      </w:r>
      <w:r w:rsidRPr="00DB125E">
        <w:t xml:space="preserve">rønland, som består af blandinger af </w:t>
      </w:r>
      <w:proofErr w:type="spellStart"/>
      <w:r w:rsidRPr="00DB125E">
        <w:t>hundredevis</w:t>
      </w:r>
      <w:proofErr w:type="spellEnd"/>
      <w:r w:rsidRPr="00DB125E">
        <w:t xml:space="preserve"> af bestande, er de</w:t>
      </w:r>
      <w:r w:rsidR="002A0067">
        <w:t>r</w:t>
      </w:r>
      <w:r w:rsidRPr="00DB125E">
        <w:t xml:space="preserve"> i NASCO vedtaget et risikoniveau på 75</w:t>
      </w:r>
      <w:r w:rsidR="00233899">
        <w:t xml:space="preserve"> </w:t>
      </w:r>
      <w:r w:rsidRPr="00DB125E">
        <w:t xml:space="preserve">% sandsynlighed for samtidig at opnå forvaltningsmålene i 6 </w:t>
      </w:r>
      <w:proofErr w:type="gramStart"/>
      <w:r w:rsidRPr="00DB125E">
        <w:t>NAC områder</w:t>
      </w:r>
      <w:proofErr w:type="gramEnd"/>
      <w:r w:rsidRPr="00DB125E">
        <w:t xml:space="preserve"> (Labrador, Quebec, Newfoundland, Gulf of </w:t>
      </w:r>
      <w:proofErr w:type="spellStart"/>
      <w:r w:rsidRPr="00DB125E">
        <w:t>st</w:t>
      </w:r>
      <w:proofErr w:type="spellEnd"/>
      <w:r w:rsidRPr="00DB125E">
        <w:t xml:space="preserve"> </w:t>
      </w:r>
      <w:proofErr w:type="spellStart"/>
      <w:r w:rsidRPr="00DB125E">
        <w:t>lawrence</w:t>
      </w:r>
      <w:proofErr w:type="spellEnd"/>
      <w:r w:rsidRPr="00DB125E">
        <w:t xml:space="preserve">, Scotia </w:t>
      </w:r>
      <w:proofErr w:type="spellStart"/>
      <w:r w:rsidRPr="00DB125E">
        <w:t>Fundy</w:t>
      </w:r>
      <w:proofErr w:type="spellEnd"/>
      <w:r w:rsidRPr="00DB125E">
        <w:t xml:space="preserve"> og USA) samt den sydlige del af den europæiske forvaltnings region (S-NEAC). </w:t>
      </w:r>
    </w:p>
    <w:p w14:paraId="27C68D8C" w14:textId="77777777" w:rsidR="00DB125E" w:rsidRPr="00DB125E" w:rsidRDefault="00DB125E" w:rsidP="00DB125E">
      <w:pPr>
        <w:pStyle w:val="Listeafsnit"/>
        <w:ind w:left="0"/>
        <w:jc w:val="both"/>
      </w:pPr>
    </w:p>
    <w:p w14:paraId="0730F9D9" w14:textId="0935C7A4" w:rsidR="00DB125E" w:rsidRDefault="00DB125E" w:rsidP="00DB125E">
      <w:pPr>
        <w:pStyle w:val="Listeafsnit"/>
        <w:ind w:left="0"/>
        <w:jc w:val="both"/>
        <w:rPr>
          <w:i/>
          <w:iCs/>
        </w:rPr>
      </w:pPr>
      <w:r w:rsidRPr="00DB125E">
        <w:t xml:space="preserve">Rådgivning fra ICES </w:t>
      </w:r>
      <w:r w:rsidR="00051283">
        <w:t xml:space="preserve">har i en lang </w:t>
      </w:r>
      <w:proofErr w:type="spellStart"/>
      <w:r w:rsidR="00051283">
        <w:t>årerække</w:t>
      </w:r>
      <w:proofErr w:type="spellEnd"/>
      <w:r w:rsidR="00051283">
        <w:t xml:space="preserve"> været </w:t>
      </w:r>
      <w:r w:rsidRPr="00DB125E">
        <w:t>”</w:t>
      </w:r>
      <w:r w:rsidRPr="00DB125E">
        <w:rPr>
          <w:i/>
        </w:rPr>
        <w:t>intet direkte fiskeri”</w:t>
      </w:r>
      <w:r w:rsidRPr="00DB125E">
        <w:t xml:space="preserve"> </w:t>
      </w:r>
      <w:r w:rsidR="008C7BDA">
        <w:t>efter atlantisk laks i Grønland.</w:t>
      </w:r>
      <w:r w:rsidRPr="00DB125E">
        <w:t xml:space="preserve"> Rådgivningen for fiskeriet langs Nordamerika og fiskeriet i Færøerne er i øvrigt ligeledes </w:t>
      </w:r>
      <w:r w:rsidRPr="00DB125E">
        <w:rPr>
          <w:i/>
          <w:iCs/>
        </w:rPr>
        <w:t>”Intet direkte fiskeri”.</w:t>
      </w:r>
      <w:r>
        <w:rPr>
          <w:i/>
          <w:iCs/>
        </w:rPr>
        <w:t xml:space="preserve"> </w:t>
      </w:r>
    </w:p>
    <w:p w14:paraId="3330BF04" w14:textId="34940486" w:rsidR="00BB1351" w:rsidRDefault="00BB1351" w:rsidP="00DB125E">
      <w:pPr>
        <w:pStyle w:val="Listeafsnit"/>
        <w:ind w:left="0"/>
        <w:jc w:val="both"/>
        <w:rPr>
          <w:i/>
          <w:iCs/>
        </w:rPr>
      </w:pPr>
    </w:p>
    <w:p w14:paraId="2D7E6046" w14:textId="3A601A1C" w:rsidR="00BB1351" w:rsidRPr="00521414" w:rsidRDefault="00BB1351" w:rsidP="00DB125E">
      <w:pPr>
        <w:pStyle w:val="Listeafsnit"/>
        <w:ind w:left="0"/>
        <w:jc w:val="both"/>
      </w:pPr>
      <w:r>
        <w:rPr>
          <w:noProof/>
          <w:lang w:eastAsia="da-DK"/>
        </w:rPr>
        <w:lastRenderedPageBreak/>
        <w:drawing>
          <wp:inline distT="0" distB="0" distL="0" distR="0" wp14:anchorId="06FF4340" wp14:editId="4641C8C6">
            <wp:extent cx="5895975" cy="3229666"/>
            <wp:effectExtent l="0" t="0" r="0" b="889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672" cy="325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8862D" w14:textId="07B7B06D" w:rsidR="000311D9" w:rsidRPr="00233899" w:rsidRDefault="009F2142" w:rsidP="00233899">
      <w:pPr>
        <w:pStyle w:val="Listeafsnit"/>
        <w:ind w:left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</w:p>
    <w:p w14:paraId="582F098D" w14:textId="1BE0EA0F" w:rsidR="00BB1351" w:rsidRDefault="00BB1351" w:rsidP="00BF6A3E">
      <w:pPr>
        <w:pStyle w:val="Listeafsnit"/>
        <w:ind w:left="0"/>
        <w:jc w:val="both"/>
        <w:rPr>
          <w:sz w:val="18"/>
          <w:szCs w:val="18"/>
        </w:rPr>
      </w:pPr>
      <w:r w:rsidRPr="009F2142">
        <w:rPr>
          <w:b/>
          <w:sz w:val="20"/>
          <w:szCs w:val="20"/>
        </w:rPr>
        <w:t xml:space="preserve">Figur 2 </w:t>
      </w:r>
      <w:r>
        <w:rPr>
          <w:b/>
          <w:sz w:val="20"/>
          <w:szCs w:val="20"/>
        </w:rPr>
        <w:t xml:space="preserve">Kort over tilstanden af laksebestandene i de regioner der leverer hovedparten af laksene i det Grønlandske fiskeri. </w:t>
      </w:r>
      <w:r w:rsidRPr="00843FFB">
        <w:rPr>
          <w:sz w:val="18"/>
          <w:szCs w:val="18"/>
        </w:rPr>
        <w:t>R</w:t>
      </w:r>
      <w:r w:rsidRPr="00671190">
        <w:rPr>
          <w:sz w:val="18"/>
          <w:szCs w:val="18"/>
        </w:rPr>
        <w:t>e</w:t>
      </w:r>
      <w:r w:rsidRPr="00843FFB">
        <w:rPr>
          <w:sz w:val="18"/>
          <w:szCs w:val="18"/>
        </w:rPr>
        <w:t>sume a</w:t>
      </w:r>
      <w:r w:rsidRPr="00671190">
        <w:rPr>
          <w:sz w:val="18"/>
          <w:szCs w:val="18"/>
        </w:rPr>
        <w:t xml:space="preserve">f </w:t>
      </w:r>
      <w:r w:rsidRPr="00843FFB">
        <w:rPr>
          <w:sz w:val="18"/>
          <w:szCs w:val="18"/>
        </w:rPr>
        <w:t>2SW (</w:t>
      </w:r>
      <w:proofErr w:type="gramStart"/>
      <w:r w:rsidRPr="00843FFB">
        <w:rPr>
          <w:sz w:val="18"/>
          <w:szCs w:val="18"/>
        </w:rPr>
        <w:t>NAC region</w:t>
      </w:r>
      <w:r w:rsidRPr="00671190">
        <w:rPr>
          <w:sz w:val="18"/>
          <w:szCs w:val="18"/>
        </w:rPr>
        <w:t>en</w:t>
      </w:r>
      <w:proofErr w:type="gramEnd"/>
      <w:r w:rsidRPr="00843FFB">
        <w:rPr>
          <w:sz w:val="18"/>
          <w:szCs w:val="18"/>
        </w:rPr>
        <w:t xml:space="preserve">) </w:t>
      </w:r>
      <w:r w:rsidRPr="00671190">
        <w:rPr>
          <w:sz w:val="18"/>
          <w:szCs w:val="18"/>
        </w:rPr>
        <w:t xml:space="preserve">og </w:t>
      </w:r>
      <w:r w:rsidRPr="00843FFB">
        <w:rPr>
          <w:sz w:val="18"/>
          <w:szCs w:val="18"/>
        </w:rPr>
        <w:t>MSW (</w:t>
      </w:r>
      <w:r w:rsidRPr="00671190">
        <w:rPr>
          <w:sz w:val="18"/>
          <w:szCs w:val="18"/>
        </w:rPr>
        <w:t xml:space="preserve">Sydlige </w:t>
      </w:r>
      <w:r w:rsidRPr="00843FFB">
        <w:rPr>
          <w:sz w:val="18"/>
          <w:szCs w:val="18"/>
        </w:rPr>
        <w:t xml:space="preserve">NEAC) 2018 </w:t>
      </w:r>
      <w:r w:rsidRPr="00671190">
        <w:rPr>
          <w:sz w:val="18"/>
          <w:szCs w:val="18"/>
        </w:rPr>
        <w:t xml:space="preserve">middelværdien </w:t>
      </w:r>
      <w:r w:rsidRPr="00843FFB">
        <w:rPr>
          <w:sz w:val="18"/>
          <w:szCs w:val="18"/>
        </w:rPr>
        <w:t>(</w:t>
      </w:r>
      <w:r w:rsidRPr="00671190">
        <w:rPr>
          <w:sz w:val="18"/>
          <w:szCs w:val="18"/>
        </w:rPr>
        <w:t xml:space="preserve">fra </w:t>
      </w:r>
      <w:r w:rsidRPr="00843FFB">
        <w:rPr>
          <w:sz w:val="18"/>
          <w:szCs w:val="18"/>
        </w:rPr>
        <w:t xml:space="preserve">Monte Carlo </w:t>
      </w:r>
      <w:proofErr w:type="spellStart"/>
      <w:r w:rsidRPr="00843FFB">
        <w:rPr>
          <w:sz w:val="18"/>
          <w:szCs w:val="18"/>
        </w:rPr>
        <w:t>posterior</w:t>
      </w:r>
      <w:proofErr w:type="spellEnd"/>
      <w:r w:rsidRPr="00843FFB">
        <w:rPr>
          <w:sz w:val="18"/>
          <w:szCs w:val="18"/>
        </w:rPr>
        <w:t xml:space="preserve"> distribution) </w:t>
      </w:r>
      <w:r>
        <w:rPr>
          <w:sz w:val="18"/>
          <w:szCs w:val="18"/>
        </w:rPr>
        <w:t>G</w:t>
      </w:r>
      <w:r w:rsidRPr="00671190">
        <w:rPr>
          <w:sz w:val="18"/>
          <w:szCs w:val="18"/>
        </w:rPr>
        <w:t>yde</w:t>
      </w:r>
      <w:r w:rsidRPr="00843FFB">
        <w:rPr>
          <w:sz w:val="18"/>
          <w:szCs w:val="18"/>
        </w:rPr>
        <w:t>r estimate</w:t>
      </w:r>
      <w:r w:rsidRPr="00671190">
        <w:rPr>
          <w:sz w:val="18"/>
          <w:szCs w:val="18"/>
        </w:rPr>
        <w:t>r I f</w:t>
      </w:r>
      <w:r>
        <w:rPr>
          <w:sz w:val="18"/>
          <w:szCs w:val="18"/>
        </w:rPr>
        <w:t xml:space="preserve">orhold til </w:t>
      </w:r>
      <w:proofErr w:type="spellStart"/>
      <w:r>
        <w:rPr>
          <w:sz w:val="18"/>
          <w:szCs w:val="18"/>
        </w:rPr>
        <w:t>Conservation</w:t>
      </w:r>
      <w:proofErr w:type="spellEnd"/>
      <w:r>
        <w:rPr>
          <w:sz w:val="18"/>
          <w:szCs w:val="18"/>
        </w:rPr>
        <w:t xml:space="preserve"> limits / over forvaltningsmål. </w:t>
      </w:r>
      <w:r w:rsidRPr="00843FFB">
        <w:rPr>
          <w:sz w:val="18"/>
          <w:szCs w:val="18"/>
        </w:rPr>
        <w:t>(CL/MO).</w:t>
      </w:r>
    </w:p>
    <w:p w14:paraId="1E7FFE4B" w14:textId="77777777" w:rsidR="00BB1351" w:rsidRPr="00BB1351" w:rsidRDefault="00BB1351" w:rsidP="00BF6A3E">
      <w:pPr>
        <w:pStyle w:val="Listeafsnit"/>
        <w:ind w:left="0"/>
        <w:jc w:val="both"/>
        <w:rPr>
          <w:sz w:val="18"/>
          <w:szCs w:val="18"/>
        </w:rPr>
      </w:pPr>
    </w:p>
    <w:p w14:paraId="07160370" w14:textId="66006486" w:rsidR="00AE7FD1" w:rsidRDefault="00AE7FD1" w:rsidP="00AE7FD1">
      <w:pPr>
        <w:jc w:val="both"/>
        <w:rPr>
          <w:b/>
        </w:rPr>
      </w:pPr>
      <w:r w:rsidRPr="00AE7FD1">
        <w:rPr>
          <w:b/>
        </w:rPr>
        <w:t>Laksemærker</w:t>
      </w:r>
    </w:p>
    <w:p w14:paraId="381D5421" w14:textId="6F388F47" w:rsidR="00AE7FD1" w:rsidRDefault="00747649" w:rsidP="00AE7FD1">
      <w:pPr>
        <w:jc w:val="both"/>
      </w:pPr>
      <w:r>
        <w:t>En række lande</w:t>
      </w:r>
      <w:r w:rsidR="00051283">
        <w:t xml:space="preserve"> i NASCO</w:t>
      </w:r>
      <w:r>
        <w:t xml:space="preserve"> sætter mærker i deres laks og derfor indsamles laksemærker fra fiskeriet. Hvis en fisker finder et laksemærke på en </w:t>
      </w:r>
      <w:r w:rsidR="003C64D4">
        <w:t>laks,</w:t>
      </w:r>
      <w:r>
        <w:t xml:space="preserve"> skal denne indsendes til Grønlands Naturinstitut. Mærket er med til at give data om laksens migrationsmønstre. NASCO udtrækker hvert år en vinder blandt de</w:t>
      </w:r>
      <w:r w:rsidR="00096F54">
        <w:t xml:space="preserve"> indsendte mærker. Vinderen modtager en pengepræmie.</w:t>
      </w:r>
    </w:p>
    <w:p w14:paraId="5010830F" w14:textId="77777777" w:rsidR="00662FF1" w:rsidRDefault="00662FF1" w:rsidP="00AE7FD1">
      <w:pPr>
        <w:jc w:val="both"/>
      </w:pPr>
    </w:p>
    <w:p w14:paraId="76398C2B" w14:textId="59AA43E1" w:rsidR="009F70D4" w:rsidRDefault="009F70D4" w:rsidP="00EE0BF3">
      <w:pPr>
        <w:pStyle w:val="Overskrift2"/>
        <w:numPr>
          <w:ilvl w:val="1"/>
          <w:numId w:val="13"/>
        </w:numPr>
      </w:pPr>
      <w:bookmarkStart w:id="8" w:name="_Toc70320829"/>
      <w:r>
        <w:t>Fastsættelse af TAC og kvoter</w:t>
      </w:r>
      <w:bookmarkEnd w:id="8"/>
      <w:r>
        <w:t xml:space="preserve"> </w:t>
      </w:r>
    </w:p>
    <w:p w14:paraId="46297026" w14:textId="54BF177E" w:rsidR="009F70D4" w:rsidRDefault="000F22F5" w:rsidP="001F470B">
      <w:pPr>
        <w:pStyle w:val="Listeafsnit"/>
        <w:ind w:left="0"/>
        <w:jc w:val="both"/>
      </w:pPr>
      <w:r>
        <w:t xml:space="preserve">Den totalt tilladte fangstmængde </w:t>
      </w:r>
      <w:r w:rsidR="009171A8">
        <w:t>(</w:t>
      </w:r>
      <w:r w:rsidR="005E4810">
        <w:t>TAC</w:t>
      </w:r>
      <w:r w:rsidR="009171A8">
        <w:t>)</w:t>
      </w:r>
      <w:r w:rsidR="00051283">
        <w:t xml:space="preserve"> for fiskeriet efter laks</w:t>
      </w:r>
      <w:r w:rsidR="005E4810">
        <w:t xml:space="preserve"> fastsættes</w:t>
      </w:r>
      <w:r w:rsidR="004B6230">
        <w:t xml:space="preserve"> hvert år af </w:t>
      </w:r>
      <w:proofErr w:type="spellStart"/>
      <w:r w:rsidR="004B6230">
        <w:t>Naalakkersuisut</w:t>
      </w:r>
      <w:proofErr w:type="spellEnd"/>
      <w:r w:rsidR="009171A8">
        <w:t>,</w:t>
      </w:r>
      <w:r w:rsidR="004B6230">
        <w:t xml:space="preserve"> baseret på aftalen i den Vestgrønlandsk</w:t>
      </w:r>
      <w:r w:rsidR="009171A8">
        <w:t>e</w:t>
      </w:r>
      <w:r w:rsidR="004B6230">
        <w:t xml:space="preserve"> Kommission i NASCO</w:t>
      </w:r>
      <w:r w:rsidR="005E4810">
        <w:t xml:space="preserve"> (</w:t>
      </w:r>
      <w:proofErr w:type="spellStart"/>
      <w:r w:rsidR="005E4810">
        <w:t>Multi-annual</w:t>
      </w:r>
      <w:proofErr w:type="spellEnd"/>
      <w:r w:rsidR="005E4810">
        <w:t xml:space="preserve"> </w:t>
      </w:r>
      <w:proofErr w:type="spellStart"/>
      <w:r w:rsidR="005E4810">
        <w:t>Regulatory</w:t>
      </w:r>
      <w:proofErr w:type="spellEnd"/>
      <w:r w:rsidR="005E4810">
        <w:t xml:space="preserve"> Measures). </w:t>
      </w:r>
    </w:p>
    <w:p w14:paraId="1B30DEB9" w14:textId="77777777" w:rsidR="004B6230" w:rsidRDefault="004B6230" w:rsidP="001F470B">
      <w:pPr>
        <w:pStyle w:val="Listeafsnit"/>
        <w:ind w:left="0"/>
        <w:jc w:val="both"/>
      </w:pPr>
    </w:p>
    <w:p w14:paraId="3CDD1561" w14:textId="67DD998A" w:rsidR="004B6230" w:rsidRDefault="004B6230" w:rsidP="001F470B">
      <w:pPr>
        <w:pStyle w:val="Listeafsnit"/>
        <w:ind w:left="0"/>
        <w:jc w:val="both"/>
      </w:pPr>
      <w:proofErr w:type="spellStart"/>
      <w:r>
        <w:t>Naalakkersuisut</w:t>
      </w:r>
      <w:proofErr w:type="spellEnd"/>
      <w:r>
        <w:t xml:space="preserve"> fordeler </w:t>
      </w:r>
      <w:proofErr w:type="spellStart"/>
      <w:r>
        <w:t>TAC’en</w:t>
      </w:r>
      <w:proofErr w:type="spellEnd"/>
      <w:r>
        <w:t xml:space="preserve"> ud på kvoter for hvert forvaltningsområde</w:t>
      </w:r>
      <w:r w:rsidR="00B73ACE">
        <w:t xml:space="preserve"> for at sikre at alle dele af Grønland har lige adgang til fiskeriet efter laks</w:t>
      </w:r>
      <w:r>
        <w:t>. Fordelingen af kvote til hvert forvaltningsområde er baseret på</w:t>
      </w:r>
      <w:r w:rsidR="00D92864">
        <w:t xml:space="preserve"> his</w:t>
      </w:r>
      <w:r w:rsidR="00961413">
        <w:t>torisk fa</w:t>
      </w:r>
      <w:r w:rsidR="00C3631B">
        <w:t>ngstdata for perioden 2015</w:t>
      </w:r>
      <w:r w:rsidR="0059213E">
        <w:t>- 20</w:t>
      </w:r>
      <w:r w:rsidR="00715F34">
        <w:t>19</w:t>
      </w:r>
      <w:r w:rsidR="00267B65">
        <w:rPr>
          <w:rStyle w:val="Fodnotehenvisning"/>
        </w:rPr>
        <w:footnoteReference w:id="5"/>
      </w:r>
      <w:r w:rsidR="00D92864">
        <w:t>.</w:t>
      </w:r>
    </w:p>
    <w:p w14:paraId="0630BD41" w14:textId="163A76D7" w:rsidR="00662FF1" w:rsidRDefault="00662FF1" w:rsidP="001F470B">
      <w:pPr>
        <w:pStyle w:val="Listeafsnit"/>
        <w:ind w:left="0"/>
        <w:jc w:val="both"/>
      </w:pPr>
    </w:p>
    <w:p w14:paraId="5BEDCC21" w14:textId="4CBCE667" w:rsidR="00662FF1" w:rsidRDefault="00662FF1" w:rsidP="001F470B">
      <w:pPr>
        <w:pStyle w:val="Listeafsnit"/>
        <w:ind w:left="0"/>
        <w:jc w:val="both"/>
      </w:pPr>
    </w:p>
    <w:p w14:paraId="05DFE426" w14:textId="77777777" w:rsidR="00662FF1" w:rsidRDefault="00662FF1" w:rsidP="001F470B">
      <w:pPr>
        <w:pStyle w:val="Listeafsnit"/>
        <w:ind w:left="0"/>
        <w:jc w:val="both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B579E" w14:paraId="2640A83B" w14:textId="77777777" w:rsidTr="00EB579E">
        <w:tc>
          <w:tcPr>
            <w:tcW w:w="4889" w:type="dxa"/>
            <w:shd w:val="clear" w:color="auto" w:fill="F2F2F2" w:themeFill="background1" w:themeFillShade="F2"/>
          </w:tcPr>
          <w:p w14:paraId="05D5F3C8" w14:textId="3E20EE33" w:rsidR="00EB579E" w:rsidRPr="00EB579E" w:rsidRDefault="00EB579E" w:rsidP="00EB579E">
            <w:pPr>
              <w:jc w:val="both"/>
              <w:rPr>
                <w:b/>
              </w:rPr>
            </w:pPr>
            <w:r w:rsidRPr="00EB579E">
              <w:rPr>
                <w:b/>
              </w:rPr>
              <w:lastRenderedPageBreak/>
              <w:t>Forvaltningsområder:</w:t>
            </w:r>
          </w:p>
        </w:tc>
        <w:tc>
          <w:tcPr>
            <w:tcW w:w="4889" w:type="dxa"/>
            <w:shd w:val="clear" w:color="auto" w:fill="F2F2F2" w:themeFill="background1" w:themeFillShade="F2"/>
          </w:tcPr>
          <w:p w14:paraId="7BF5F839" w14:textId="21EA8C9C" w:rsidR="00EB579E" w:rsidRPr="00EB579E" w:rsidRDefault="00EB579E" w:rsidP="00EB579E">
            <w:pPr>
              <w:jc w:val="both"/>
              <w:rPr>
                <w:b/>
              </w:rPr>
            </w:pPr>
            <w:r w:rsidRPr="00EB579E">
              <w:rPr>
                <w:b/>
              </w:rPr>
              <w:t>Fordelingsnøgle:</w:t>
            </w:r>
          </w:p>
        </w:tc>
      </w:tr>
      <w:tr w:rsidR="00EB579E" w14:paraId="30EBB08C" w14:textId="77777777" w:rsidTr="00EB579E">
        <w:tc>
          <w:tcPr>
            <w:tcW w:w="4889" w:type="dxa"/>
          </w:tcPr>
          <w:p w14:paraId="1982AD23" w14:textId="1E3C09C5" w:rsidR="00EB579E" w:rsidRDefault="007610F9" w:rsidP="00EB579E">
            <w:pPr>
              <w:jc w:val="both"/>
            </w:pPr>
            <w:r>
              <w:t>Nord</w:t>
            </w:r>
            <w:r w:rsidR="00825649">
              <w:t>vest</w:t>
            </w:r>
          </w:p>
        </w:tc>
        <w:tc>
          <w:tcPr>
            <w:tcW w:w="4889" w:type="dxa"/>
          </w:tcPr>
          <w:p w14:paraId="4538D90D" w14:textId="2E1D9E27" w:rsidR="00EB579E" w:rsidRDefault="00B63939" w:rsidP="00EB579E">
            <w:pPr>
              <w:jc w:val="both"/>
            </w:pPr>
            <w:r>
              <w:t>40 %</w:t>
            </w:r>
          </w:p>
        </w:tc>
      </w:tr>
      <w:tr w:rsidR="00EB579E" w14:paraId="5E4E8BF7" w14:textId="77777777" w:rsidTr="00EB579E">
        <w:tc>
          <w:tcPr>
            <w:tcW w:w="4889" w:type="dxa"/>
          </w:tcPr>
          <w:p w14:paraId="5CE0C91E" w14:textId="293EEEF2" w:rsidR="00EB579E" w:rsidRDefault="007610F9" w:rsidP="00EB579E">
            <w:pPr>
              <w:jc w:val="both"/>
            </w:pPr>
            <w:r>
              <w:t>Syd</w:t>
            </w:r>
            <w:r w:rsidR="00825649">
              <w:t>vest</w:t>
            </w:r>
          </w:p>
        </w:tc>
        <w:tc>
          <w:tcPr>
            <w:tcW w:w="4889" w:type="dxa"/>
          </w:tcPr>
          <w:p w14:paraId="36907112" w14:textId="5C7DCAFB" w:rsidR="00EB579E" w:rsidRDefault="00B63939" w:rsidP="00EB579E">
            <w:pPr>
              <w:jc w:val="both"/>
            </w:pPr>
            <w:r>
              <w:t>60 %</w:t>
            </w:r>
          </w:p>
        </w:tc>
      </w:tr>
      <w:tr w:rsidR="00EB579E" w14:paraId="17A7649F" w14:textId="77777777" w:rsidTr="00EB579E">
        <w:tc>
          <w:tcPr>
            <w:tcW w:w="4889" w:type="dxa"/>
          </w:tcPr>
          <w:p w14:paraId="2A017712" w14:textId="0BCBD7F2" w:rsidR="00EB579E" w:rsidRDefault="00EB579E" w:rsidP="00EB579E">
            <w:pPr>
              <w:jc w:val="both"/>
            </w:pPr>
            <w:r>
              <w:t>Østgrønland</w:t>
            </w:r>
          </w:p>
        </w:tc>
        <w:tc>
          <w:tcPr>
            <w:tcW w:w="4889" w:type="dxa"/>
          </w:tcPr>
          <w:p w14:paraId="1541C821" w14:textId="1DD3ECD0" w:rsidR="00EB579E" w:rsidRDefault="00F100E4" w:rsidP="00EB579E">
            <w:pPr>
              <w:jc w:val="both"/>
            </w:pPr>
            <w:r>
              <w:t xml:space="preserve">Fast årlig kvote på </w:t>
            </w:r>
            <w:r w:rsidR="00051283">
              <w:t>2</w:t>
            </w:r>
            <w:r w:rsidR="00F17592">
              <w:t xml:space="preserve"> tons</w:t>
            </w:r>
          </w:p>
        </w:tc>
      </w:tr>
    </w:tbl>
    <w:p w14:paraId="1B7F3DA6" w14:textId="210BD76F" w:rsidR="009F70D4" w:rsidRDefault="009F70D4" w:rsidP="00EB579E">
      <w:pPr>
        <w:jc w:val="both"/>
      </w:pPr>
    </w:p>
    <w:p w14:paraId="5E54937D" w14:textId="3B5841FD" w:rsidR="0063772E" w:rsidRDefault="0063772E" w:rsidP="00EB579E">
      <w:pPr>
        <w:jc w:val="both"/>
      </w:pPr>
      <w:r>
        <w:t xml:space="preserve">Når </w:t>
      </w:r>
      <w:proofErr w:type="spellStart"/>
      <w:r>
        <w:t>Naalakkersuisut</w:t>
      </w:r>
      <w:proofErr w:type="spellEnd"/>
      <w:r>
        <w:t xml:space="preserve"> har fordelt kvoten på forvaltningsområder fordeles kvoten for forvaltningsområderne ud på de to segmenter </w:t>
      </w:r>
      <w:r w:rsidRPr="00B069A0">
        <w:rPr>
          <w:i/>
        </w:rPr>
        <w:t>Erhvervsfiskere</w:t>
      </w:r>
      <w:r>
        <w:t xml:space="preserve"> og </w:t>
      </w:r>
      <w:r w:rsidRPr="00B069A0">
        <w:rPr>
          <w:i/>
        </w:rPr>
        <w:t>Fritidsfiskere</w:t>
      </w:r>
      <w:r>
        <w:t xml:space="preserve"> som fastsat i de nedenstående fordelingsnøgler</w:t>
      </w:r>
      <w:r>
        <w:rPr>
          <w:rStyle w:val="Fodnotehenvisning"/>
        </w:rPr>
        <w:footnoteReference w:id="6"/>
      </w:r>
      <w:r>
        <w:t>.</w:t>
      </w:r>
      <w:r w:rsidR="00735C6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73"/>
        <w:gridCol w:w="2533"/>
        <w:gridCol w:w="2544"/>
        <w:gridCol w:w="2404"/>
      </w:tblGrid>
      <w:tr w:rsidR="00157463" w14:paraId="4E8DD4E8" w14:textId="77777777" w:rsidTr="00B328F2">
        <w:tc>
          <w:tcPr>
            <w:tcW w:w="2373" w:type="dxa"/>
            <w:shd w:val="clear" w:color="auto" w:fill="D9D9D9" w:themeFill="background1" w:themeFillShade="D9"/>
          </w:tcPr>
          <w:p w14:paraId="36588641" w14:textId="65691B02" w:rsidR="00157463" w:rsidRPr="00157463" w:rsidRDefault="00157463" w:rsidP="00EB579E">
            <w:pPr>
              <w:jc w:val="both"/>
              <w:rPr>
                <w:b/>
                <w:bCs/>
              </w:rPr>
            </w:pPr>
            <w:r w:rsidRPr="00157463">
              <w:rPr>
                <w:b/>
                <w:bCs/>
              </w:rPr>
              <w:t>Forvaltningsområder</w:t>
            </w:r>
          </w:p>
        </w:tc>
        <w:tc>
          <w:tcPr>
            <w:tcW w:w="2533" w:type="dxa"/>
            <w:shd w:val="clear" w:color="auto" w:fill="D9D9D9" w:themeFill="background1" w:themeFillShade="D9"/>
          </w:tcPr>
          <w:p w14:paraId="3569C753" w14:textId="30A4DE6B" w:rsidR="00157463" w:rsidRPr="00157463" w:rsidRDefault="00157463" w:rsidP="00EB579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Fordelingsnøgle 1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369DD8B1" w14:textId="7F673504" w:rsidR="00157463" w:rsidRPr="00157463" w:rsidRDefault="00157463" w:rsidP="00EB579E">
            <w:pPr>
              <w:jc w:val="both"/>
              <w:rPr>
                <w:b/>
                <w:bCs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14:paraId="7D234EAA" w14:textId="46785329" w:rsidR="00157463" w:rsidRPr="00157463" w:rsidRDefault="00157463" w:rsidP="00EB579E">
            <w:pPr>
              <w:jc w:val="both"/>
              <w:rPr>
                <w:b/>
                <w:bCs/>
              </w:rPr>
            </w:pPr>
            <w:r w:rsidRPr="00157463">
              <w:rPr>
                <w:b/>
                <w:bCs/>
              </w:rPr>
              <w:t>Fordelingsnøgle</w:t>
            </w:r>
            <w:r>
              <w:rPr>
                <w:b/>
                <w:bCs/>
              </w:rPr>
              <w:t xml:space="preserve"> 2</w:t>
            </w:r>
          </w:p>
        </w:tc>
      </w:tr>
      <w:tr w:rsidR="00157463" w14:paraId="611F92AD" w14:textId="77777777" w:rsidTr="00157463">
        <w:tc>
          <w:tcPr>
            <w:tcW w:w="2373" w:type="dxa"/>
            <w:vMerge w:val="restart"/>
            <w:vAlign w:val="center"/>
          </w:tcPr>
          <w:p w14:paraId="322D9994" w14:textId="0A3646B8" w:rsidR="00157463" w:rsidRDefault="00157463" w:rsidP="00157463">
            <w:r>
              <w:t>Nordvest</w:t>
            </w:r>
          </w:p>
        </w:tc>
        <w:tc>
          <w:tcPr>
            <w:tcW w:w="2533" w:type="dxa"/>
            <w:vMerge w:val="restart"/>
            <w:vAlign w:val="center"/>
          </w:tcPr>
          <w:p w14:paraId="34C36ADC" w14:textId="5ACAD31B" w:rsidR="00157463" w:rsidRDefault="00157463" w:rsidP="00157463">
            <w:r>
              <w:t>40%</w:t>
            </w:r>
          </w:p>
        </w:tc>
        <w:tc>
          <w:tcPr>
            <w:tcW w:w="2544" w:type="dxa"/>
          </w:tcPr>
          <w:p w14:paraId="607A2C1B" w14:textId="36109225" w:rsidR="00157463" w:rsidRDefault="00157463" w:rsidP="00EB579E">
            <w:pPr>
              <w:jc w:val="both"/>
            </w:pPr>
            <w:r>
              <w:t>Erhvervsfiskere</w:t>
            </w:r>
          </w:p>
        </w:tc>
        <w:tc>
          <w:tcPr>
            <w:tcW w:w="2404" w:type="dxa"/>
          </w:tcPr>
          <w:p w14:paraId="1A699FAE" w14:textId="02FA5E98" w:rsidR="00157463" w:rsidRPr="00BD7136" w:rsidRDefault="00157463" w:rsidP="00EB579E">
            <w:pPr>
              <w:jc w:val="both"/>
              <w:rPr>
                <w:vertAlign w:val="superscript"/>
              </w:rPr>
            </w:pPr>
            <w:r>
              <w:t>28 %</w:t>
            </w:r>
            <w:r w:rsidR="00BD7136">
              <w:t xml:space="preserve"> </w:t>
            </w:r>
            <w:r w:rsidR="00BD7136">
              <w:rPr>
                <w:vertAlign w:val="superscript"/>
              </w:rPr>
              <w:t>1</w:t>
            </w:r>
          </w:p>
        </w:tc>
      </w:tr>
      <w:tr w:rsidR="00157463" w14:paraId="2732045F" w14:textId="77777777" w:rsidTr="00157463">
        <w:tc>
          <w:tcPr>
            <w:tcW w:w="2373" w:type="dxa"/>
            <w:vMerge/>
            <w:vAlign w:val="center"/>
          </w:tcPr>
          <w:p w14:paraId="134AE718" w14:textId="445AF499" w:rsidR="00157463" w:rsidRDefault="00157463" w:rsidP="00157463"/>
        </w:tc>
        <w:tc>
          <w:tcPr>
            <w:tcW w:w="2533" w:type="dxa"/>
            <w:vMerge/>
            <w:vAlign w:val="center"/>
          </w:tcPr>
          <w:p w14:paraId="10ECACDC" w14:textId="77777777" w:rsidR="00157463" w:rsidRDefault="00157463" w:rsidP="00157463"/>
        </w:tc>
        <w:tc>
          <w:tcPr>
            <w:tcW w:w="2544" w:type="dxa"/>
          </w:tcPr>
          <w:p w14:paraId="3AD47647" w14:textId="47E75675" w:rsidR="00157463" w:rsidRDefault="00157463" w:rsidP="00EB579E">
            <w:pPr>
              <w:jc w:val="both"/>
            </w:pPr>
            <w:r>
              <w:t>Fritidsfiskere</w:t>
            </w:r>
          </w:p>
        </w:tc>
        <w:tc>
          <w:tcPr>
            <w:tcW w:w="2404" w:type="dxa"/>
          </w:tcPr>
          <w:p w14:paraId="3B903AF1" w14:textId="0CCA0B34" w:rsidR="00157463" w:rsidRDefault="00157463" w:rsidP="00EB579E">
            <w:pPr>
              <w:jc w:val="both"/>
            </w:pPr>
            <w:r>
              <w:t>12 %</w:t>
            </w:r>
            <w:r w:rsidR="00BD7136">
              <w:t xml:space="preserve"> </w:t>
            </w:r>
            <w:r w:rsidR="00BD7136">
              <w:rPr>
                <w:vertAlign w:val="superscript"/>
              </w:rPr>
              <w:t>1</w:t>
            </w:r>
          </w:p>
        </w:tc>
      </w:tr>
      <w:tr w:rsidR="00157463" w14:paraId="41F08CF8" w14:textId="77777777" w:rsidTr="00157463">
        <w:tc>
          <w:tcPr>
            <w:tcW w:w="2373" w:type="dxa"/>
            <w:vMerge w:val="restart"/>
            <w:vAlign w:val="center"/>
          </w:tcPr>
          <w:p w14:paraId="44DE7BAA" w14:textId="14C1C304" w:rsidR="00157463" w:rsidRDefault="00157463" w:rsidP="00157463">
            <w:r>
              <w:t>Sydvest</w:t>
            </w:r>
          </w:p>
        </w:tc>
        <w:tc>
          <w:tcPr>
            <w:tcW w:w="2533" w:type="dxa"/>
            <w:vMerge w:val="restart"/>
            <w:vAlign w:val="center"/>
          </w:tcPr>
          <w:p w14:paraId="1B967DB6" w14:textId="1A6EFE4F" w:rsidR="00157463" w:rsidRDefault="00157463" w:rsidP="00157463">
            <w:r>
              <w:t>60%</w:t>
            </w:r>
          </w:p>
        </w:tc>
        <w:tc>
          <w:tcPr>
            <w:tcW w:w="2544" w:type="dxa"/>
          </w:tcPr>
          <w:p w14:paraId="021F2A93" w14:textId="62B02C0B" w:rsidR="00157463" w:rsidRDefault="00157463" w:rsidP="00EB579E">
            <w:pPr>
              <w:jc w:val="both"/>
            </w:pPr>
            <w:r>
              <w:t>Erhvervsfiskere</w:t>
            </w:r>
          </w:p>
        </w:tc>
        <w:tc>
          <w:tcPr>
            <w:tcW w:w="2404" w:type="dxa"/>
          </w:tcPr>
          <w:p w14:paraId="263B09B8" w14:textId="04279D11" w:rsidR="00157463" w:rsidRDefault="00157463" w:rsidP="00EB579E">
            <w:pPr>
              <w:jc w:val="both"/>
            </w:pPr>
            <w:r>
              <w:t>42 %</w:t>
            </w:r>
            <w:r w:rsidR="00BD7136">
              <w:t xml:space="preserve"> </w:t>
            </w:r>
            <w:r w:rsidR="00BD7136">
              <w:rPr>
                <w:vertAlign w:val="superscript"/>
              </w:rPr>
              <w:t>1</w:t>
            </w:r>
          </w:p>
        </w:tc>
      </w:tr>
      <w:tr w:rsidR="00157463" w14:paraId="01DCE8AB" w14:textId="77777777" w:rsidTr="00157463">
        <w:tc>
          <w:tcPr>
            <w:tcW w:w="2373" w:type="dxa"/>
            <w:vMerge/>
          </w:tcPr>
          <w:p w14:paraId="445CD79E" w14:textId="77777777" w:rsidR="00157463" w:rsidRDefault="00157463" w:rsidP="00EB579E">
            <w:pPr>
              <w:jc w:val="both"/>
            </w:pPr>
          </w:p>
        </w:tc>
        <w:tc>
          <w:tcPr>
            <w:tcW w:w="2533" w:type="dxa"/>
            <w:vMerge/>
          </w:tcPr>
          <w:p w14:paraId="6FF31D29" w14:textId="77777777" w:rsidR="00157463" w:rsidRDefault="00157463" w:rsidP="00EB579E">
            <w:pPr>
              <w:jc w:val="both"/>
            </w:pPr>
          </w:p>
        </w:tc>
        <w:tc>
          <w:tcPr>
            <w:tcW w:w="2544" w:type="dxa"/>
          </w:tcPr>
          <w:p w14:paraId="2174AED2" w14:textId="77616F2E" w:rsidR="00157463" w:rsidRDefault="00157463" w:rsidP="00EB579E">
            <w:pPr>
              <w:jc w:val="both"/>
            </w:pPr>
            <w:r>
              <w:t>Fritidsfiskere</w:t>
            </w:r>
          </w:p>
        </w:tc>
        <w:tc>
          <w:tcPr>
            <w:tcW w:w="2404" w:type="dxa"/>
          </w:tcPr>
          <w:p w14:paraId="38C893DA" w14:textId="662D7EE7" w:rsidR="00157463" w:rsidRDefault="00157463" w:rsidP="00EB579E">
            <w:pPr>
              <w:jc w:val="both"/>
            </w:pPr>
            <w:r>
              <w:t>18 %</w:t>
            </w:r>
            <w:r w:rsidR="00BD7136">
              <w:t xml:space="preserve"> </w:t>
            </w:r>
            <w:r w:rsidR="00BD7136">
              <w:rPr>
                <w:vertAlign w:val="superscript"/>
              </w:rPr>
              <w:t>1</w:t>
            </w:r>
          </w:p>
        </w:tc>
      </w:tr>
      <w:tr w:rsidR="00BD7136" w14:paraId="0DAC8128" w14:textId="77777777" w:rsidTr="00BD7136">
        <w:trPr>
          <w:trHeight w:val="269"/>
        </w:trPr>
        <w:tc>
          <w:tcPr>
            <w:tcW w:w="2373" w:type="dxa"/>
            <w:vMerge w:val="restart"/>
            <w:vAlign w:val="center"/>
          </w:tcPr>
          <w:p w14:paraId="03A7D65D" w14:textId="28FF5CB3" w:rsidR="00BD7136" w:rsidRDefault="00BD7136" w:rsidP="00BD7136">
            <w:r>
              <w:t>Østgrønland</w:t>
            </w:r>
          </w:p>
        </w:tc>
        <w:tc>
          <w:tcPr>
            <w:tcW w:w="2533" w:type="dxa"/>
            <w:vMerge w:val="restart"/>
            <w:vAlign w:val="center"/>
          </w:tcPr>
          <w:p w14:paraId="58D75233" w14:textId="33AAFCC2" w:rsidR="00BD7136" w:rsidRDefault="00BD7136" w:rsidP="00D43796">
            <w:r>
              <w:t xml:space="preserve">Fast årlig kvote på </w:t>
            </w:r>
            <w:r w:rsidR="00D43796">
              <w:t>2</w:t>
            </w:r>
            <w:r>
              <w:t xml:space="preserve"> tons</w:t>
            </w:r>
          </w:p>
        </w:tc>
        <w:tc>
          <w:tcPr>
            <w:tcW w:w="2544" w:type="dxa"/>
          </w:tcPr>
          <w:p w14:paraId="57795301" w14:textId="481E9F0E" w:rsidR="00BD7136" w:rsidRDefault="00BD7136" w:rsidP="00BD7136">
            <w:pPr>
              <w:jc w:val="both"/>
            </w:pPr>
            <w:r>
              <w:t>Erhvervsfiskere</w:t>
            </w:r>
          </w:p>
        </w:tc>
        <w:tc>
          <w:tcPr>
            <w:tcW w:w="2404" w:type="dxa"/>
          </w:tcPr>
          <w:p w14:paraId="64723D74" w14:textId="7E803BDA" w:rsidR="00BD7136" w:rsidRPr="00BD7136" w:rsidRDefault="00BD7136" w:rsidP="00BD7136">
            <w:pPr>
              <w:jc w:val="both"/>
              <w:rPr>
                <w:vertAlign w:val="superscript"/>
              </w:rPr>
            </w:pPr>
            <w:r>
              <w:t xml:space="preserve">50% </w:t>
            </w:r>
            <w:r>
              <w:rPr>
                <w:vertAlign w:val="superscript"/>
              </w:rPr>
              <w:t>2</w:t>
            </w:r>
          </w:p>
        </w:tc>
      </w:tr>
      <w:tr w:rsidR="00BD7136" w14:paraId="581DFDFD" w14:textId="77777777" w:rsidTr="00BD7136">
        <w:trPr>
          <w:trHeight w:val="269"/>
        </w:trPr>
        <w:tc>
          <w:tcPr>
            <w:tcW w:w="2373" w:type="dxa"/>
            <w:vMerge/>
          </w:tcPr>
          <w:p w14:paraId="53EA0A32" w14:textId="77777777" w:rsidR="00BD7136" w:rsidRDefault="00BD7136" w:rsidP="00BD7136">
            <w:pPr>
              <w:jc w:val="both"/>
            </w:pPr>
          </w:p>
        </w:tc>
        <w:tc>
          <w:tcPr>
            <w:tcW w:w="2533" w:type="dxa"/>
            <w:vMerge/>
          </w:tcPr>
          <w:p w14:paraId="54960ED5" w14:textId="77777777" w:rsidR="00BD7136" w:rsidRDefault="00BD7136" w:rsidP="00BD7136">
            <w:pPr>
              <w:jc w:val="both"/>
            </w:pPr>
          </w:p>
        </w:tc>
        <w:tc>
          <w:tcPr>
            <w:tcW w:w="2544" w:type="dxa"/>
          </w:tcPr>
          <w:p w14:paraId="1BC3E616" w14:textId="59C8B8EC" w:rsidR="00BD7136" w:rsidRDefault="00BD7136" w:rsidP="00BD7136">
            <w:pPr>
              <w:jc w:val="both"/>
            </w:pPr>
            <w:r>
              <w:t>Fritidsfiskere</w:t>
            </w:r>
          </w:p>
        </w:tc>
        <w:tc>
          <w:tcPr>
            <w:tcW w:w="2404" w:type="dxa"/>
          </w:tcPr>
          <w:p w14:paraId="455E9243" w14:textId="441C1AC5" w:rsidR="00BD7136" w:rsidRPr="00BD7136" w:rsidRDefault="00BD7136" w:rsidP="00BD7136">
            <w:pPr>
              <w:jc w:val="both"/>
              <w:rPr>
                <w:vertAlign w:val="superscript"/>
              </w:rPr>
            </w:pPr>
            <w:r>
              <w:t xml:space="preserve">50% </w:t>
            </w:r>
            <w:r>
              <w:rPr>
                <w:vertAlign w:val="superscript"/>
              </w:rPr>
              <w:t>2</w:t>
            </w:r>
          </w:p>
        </w:tc>
      </w:tr>
      <w:tr w:rsidR="00BD7136" w14:paraId="7AAD07DA" w14:textId="77777777" w:rsidTr="00BD7136">
        <w:trPr>
          <w:trHeight w:val="269"/>
        </w:trPr>
        <w:tc>
          <w:tcPr>
            <w:tcW w:w="9854" w:type="dxa"/>
            <w:gridSpan w:val="4"/>
          </w:tcPr>
          <w:p w14:paraId="5EF6F32F" w14:textId="77777777" w:rsidR="00BD7136" w:rsidRDefault="00BD7136" w:rsidP="00BD7136">
            <w:pPr>
              <w:jc w:val="both"/>
            </w:pPr>
            <w:r>
              <w:rPr>
                <w:vertAlign w:val="superscript"/>
              </w:rPr>
              <w:t>1</w:t>
            </w:r>
            <w:r w:rsidRPr="00BD7136">
              <w:t xml:space="preserve"> %-vis fordeling </w:t>
            </w:r>
            <w:r>
              <w:t>af kvoten for Vestgrønland</w:t>
            </w:r>
          </w:p>
          <w:p w14:paraId="4E99BB23" w14:textId="3837E478" w:rsidR="00BD7136" w:rsidRPr="00BD7136" w:rsidRDefault="00BD7136" w:rsidP="00BD7136">
            <w:pPr>
              <w:jc w:val="both"/>
            </w:pPr>
            <w:r>
              <w:rPr>
                <w:vertAlign w:val="superscript"/>
              </w:rPr>
              <w:t>2</w:t>
            </w:r>
            <w:r>
              <w:t xml:space="preserve"> %-vis fordeling af kvoten for Østgrønland</w:t>
            </w:r>
          </w:p>
        </w:tc>
      </w:tr>
    </w:tbl>
    <w:p w14:paraId="2E3D90C5" w14:textId="77777777" w:rsidR="00157463" w:rsidRDefault="00157463" w:rsidP="00EB579E">
      <w:pPr>
        <w:jc w:val="both"/>
      </w:pPr>
    </w:p>
    <w:p w14:paraId="315E04CD" w14:textId="4598B59C" w:rsidR="00B124FF" w:rsidRPr="009575CE" w:rsidRDefault="00074AFC" w:rsidP="002E0308">
      <w:pPr>
        <w:pStyle w:val="Overskrift2"/>
        <w:numPr>
          <w:ilvl w:val="1"/>
          <w:numId w:val="13"/>
        </w:numPr>
      </w:pPr>
      <w:bookmarkStart w:id="9" w:name="_Toc70320830"/>
      <w:r>
        <w:t>Reguleringsmekanismer</w:t>
      </w:r>
      <w:bookmarkEnd w:id="9"/>
    </w:p>
    <w:p w14:paraId="6F5C65C7" w14:textId="23990FE7" w:rsidR="0043115E" w:rsidRDefault="0043115E" w:rsidP="00A721F3">
      <w:pPr>
        <w:pStyle w:val="Overskrift3"/>
        <w:numPr>
          <w:ilvl w:val="2"/>
          <w:numId w:val="13"/>
        </w:numPr>
      </w:pPr>
      <w:bookmarkStart w:id="10" w:name="_Toc70320831"/>
      <w:r>
        <w:t>Output regulering: kvotemængder</w:t>
      </w:r>
      <w:bookmarkEnd w:id="10"/>
    </w:p>
    <w:p w14:paraId="0C15E1A0" w14:textId="38E50E48" w:rsidR="00656CD6" w:rsidRDefault="0066304E" w:rsidP="00BC4544">
      <w:pPr>
        <w:jc w:val="both"/>
      </w:pPr>
      <w:r>
        <w:t>Fiskeriet forvaltes via tidsbegrænsede licenser uden en højest tilladt fangstmængde, også kendt som olympisk fiskeri. Dette betyder, at kvoterne fastsættes for hvert forvaltningsområde og at alle licenshavere i et forvaltningsområde fisker på den fælles kvote i det pågældende forvaltningsområde.</w:t>
      </w:r>
    </w:p>
    <w:p w14:paraId="7AB62637" w14:textId="41068134" w:rsidR="0066304E" w:rsidRPr="00656CD6" w:rsidRDefault="0066304E" w:rsidP="00BC4544">
      <w:pPr>
        <w:jc w:val="both"/>
      </w:pPr>
      <w:r>
        <w:t>Fiskeriet i et forvaltningsområde lukker når kvoten for området er opfisket. Der kan ikke flyttes kvoter mellem områder eller år.</w:t>
      </w:r>
    </w:p>
    <w:p w14:paraId="38463835" w14:textId="1A0E5F47" w:rsidR="00B124FF" w:rsidRPr="009575CE" w:rsidRDefault="009E0B14" w:rsidP="00A721F3">
      <w:pPr>
        <w:pStyle w:val="Overskrift3"/>
        <w:numPr>
          <w:ilvl w:val="2"/>
          <w:numId w:val="13"/>
        </w:numPr>
      </w:pPr>
      <w:bookmarkStart w:id="11" w:name="_Toc70320832"/>
      <w:r>
        <w:t xml:space="preserve">Input </w:t>
      </w:r>
      <w:r w:rsidR="00B30498">
        <w:t>regulering</w:t>
      </w:r>
      <w:r w:rsidR="005E1237">
        <w:t>:</w:t>
      </w:r>
      <w:r w:rsidR="000A6B94" w:rsidRPr="009575CE">
        <w:t xml:space="preserve"> </w:t>
      </w:r>
      <w:r>
        <w:t>Fiskeri kapacitet</w:t>
      </w:r>
      <w:bookmarkEnd w:id="11"/>
    </w:p>
    <w:p w14:paraId="36BEE82A" w14:textId="77777777" w:rsidR="001B4569" w:rsidRDefault="00F63507" w:rsidP="00987D22">
      <w:pPr>
        <w:jc w:val="both"/>
      </w:pPr>
      <w:r>
        <w:t xml:space="preserve">Fiskeriet efter atlantisk laks er et fiskeri til intern </w:t>
      </w:r>
      <w:r w:rsidR="00305A33">
        <w:t>forsyning i</w:t>
      </w:r>
      <w:r>
        <w:t xml:space="preserve"> Grønland</w:t>
      </w:r>
      <w:r w:rsidR="00DB1F7F">
        <w:t>,</w:t>
      </w:r>
      <w:r w:rsidR="009171A8">
        <w:t xml:space="preserve"> også kaldet</w:t>
      </w:r>
      <w:r w:rsidR="00DB1F7F">
        <w:t xml:space="preserve"> subsistensfiskeri,</w:t>
      </w:r>
      <w:r>
        <w:t xml:space="preserve"> og derfor kan både erhvervs- og fritidsfiskere fiske efter laks. Fiskeriet reguleres dog ud fra licenser. Alle skal have en licens for at kunne fiske efter laks, også selvom det kun er med fiskestang. </w:t>
      </w:r>
    </w:p>
    <w:p w14:paraId="54EFDA84" w14:textId="420E775E" w:rsidR="00C75AC3" w:rsidRDefault="009E2BF2" w:rsidP="00987D22">
      <w:pPr>
        <w:jc w:val="both"/>
      </w:pPr>
      <w:r>
        <w:t>Der udsted</w:t>
      </w:r>
      <w:r w:rsidR="00612818">
        <w:t>es kun licenser til</w:t>
      </w:r>
      <w:r w:rsidR="001B4569">
        <w:t xml:space="preserve"> </w:t>
      </w:r>
      <w:r w:rsidR="00612818">
        <w:t>fartøjer op til og med 12,8 meter længde overalt (42 fod).</w:t>
      </w:r>
    </w:p>
    <w:p w14:paraId="2C0EF5E6" w14:textId="6E39C6A3" w:rsidR="00F63507" w:rsidRDefault="00F63507" w:rsidP="00987D22">
      <w:pPr>
        <w:jc w:val="both"/>
      </w:pPr>
      <w:r>
        <w:t>For at kunne være berettiget til at få udstedt en licens til fiskeri efter laks skal man opfylde følgende krav:</w:t>
      </w:r>
    </w:p>
    <w:p w14:paraId="54FC4D99" w14:textId="5D81C080" w:rsidR="00F63507" w:rsidRDefault="004E3A1F" w:rsidP="00F63507">
      <w:pPr>
        <w:pStyle w:val="Listeafsnit"/>
        <w:numPr>
          <w:ilvl w:val="0"/>
          <w:numId w:val="37"/>
        </w:numPr>
        <w:jc w:val="both"/>
      </w:pPr>
      <w:r>
        <w:t>Man</w:t>
      </w:r>
      <w:r w:rsidR="00F63507">
        <w:t xml:space="preserve"> skal have haft permanent adresse i Grønland i de sidste to sammenhængende år,</w:t>
      </w:r>
    </w:p>
    <w:p w14:paraId="0200FC1A" w14:textId="40DE63A8" w:rsidR="00F63507" w:rsidRDefault="004E3A1F" w:rsidP="00F63507">
      <w:pPr>
        <w:pStyle w:val="Listeafsnit"/>
        <w:numPr>
          <w:ilvl w:val="0"/>
          <w:numId w:val="37"/>
        </w:numPr>
        <w:jc w:val="both"/>
      </w:pPr>
      <w:r>
        <w:t>Man</w:t>
      </w:r>
      <w:r w:rsidR="00F63507">
        <w:t xml:space="preserve"> skal have betalt skat i Grønland i de sidste to sammenhængende år</w:t>
      </w:r>
      <w:r w:rsidR="00A2223D">
        <w:t>,</w:t>
      </w:r>
    </w:p>
    <w:p w14:paraId="39D8298B" w14:textId="181CF12F" w:rsidR="00F63507" w:rsidRDefault="00F63507" w:rsidP="00F63507">
      <w:pPr>
        <w:pStyle w:val="Listeafsnit"/>
        <w:numPr>
          <w:ilvl w:val="0"/>
          <w:numId w:val="37"/>
        </w:numPr>
        <w:jc w:val="both"/>
      </w:pPr>
      <w:r>
        <w:t xml:space="preserve">Hvis </w:t>
      </w:r>
      <w:r w:rsidR="004E3A1F">
        <w:t>man</w:t>
      </w:r>
      <w:r>
        <w:t xml:space="preserve"> havde lic</w:t>
      </w:r>
      <w:r w:rsidR="00C32038">
        <w:t>ens i det foregående år, skal man have rapporteret om s</w:t>
      </w:r>
      <w:r>
        <w:t>in fiskeriaktivitet rettidigt</w:t>
      </w:r>
      <w:r w:rsidR="00A2223D">
        <w:t xml:space="preserve"> i det foregående år.</w:t>
      </w:r>
    </w:p>
    <w:p w14:paraId="3D546357" w14:textId="36AA1AEA" w:rsidR="00B2274F" w:rsidRDefault="00B2274F" w:rsidP="00B2274F">
      <w:pPr>
        <w:jc w:val="both"/>
      </w:pPr>
      <w:r>
        <w:t>For at få udstedt licens til fiskeri efter laks skal man ansøge via sullissivik.gl eller sit lokale kommunekontor.</w:t>
      </w:r>
    </w:p>
    <w:p w14:paraId="36D74FF6" w14:textId="77777777" w:rsidR="00662FF1" w:rsidRDefault="00662FF1" w:rsidP="00B2274F">
      <w:pPr>
        <w:jc w:val="both"/>
      </w:pPr>
    </w:p>
    <w:p w14:paraId="7E3AB749" w14:textId="552C165F" w:rsidR="00F23E25" w:rsidRDefault="00F23E25" w:rsidP="00A721F3">
      <w:pPr>
        <w:pStyle w:val="Overskrift3"/>
        <w:numPr>
          <w:ilvl w:val="2"/>
          <w:numId w:val="13"/>
        </w:numPr>
      </w:pPr>
      <w:bookmarkStart w:id="12" w:name="_Toc70320833"/>
      <w:r>
        <w:t>Områderegulering</w:t>
      </w:r>
      <w:bookmarkEnd w:id="12"/>
    </w:p>
    <w:p w14:paraId="22397556" w14:textId="55ECEB57" w:rsidR="009626A4" w:rsidRDefault="00BC4544" w:rsidP="00BC4544">
      <w:pPr>
        <w:jc w:val="both"/>
      </w:pPr>
      <w:r>
        <w:t>Fiskeriet efter atlantisk laks må kun foregå</w:t>
      </w:r>
      <w:r w:rsidR="00082977">
        <w:t xml:space="preserve"> kystnært, hvilket er defineret som</w:t>
      </w:r>
      <w:r>
        <w:t xml:space="preserve"> inden for 3 sømil </w:t>
      </w:r>
      <w:r w:rsidR="00082977">
        <w:t>uden for</w:t>
      </w:r>
      <w:r>
        <w:t xml:space="preserve"> basislinjen. </w:t>
      </w:r>
    </w:p>
    <w:p w14:paraId="5D7C6308" w14:textId="400618A1" w:rsidR="00BC4544" w:rsidRDefault="00BC4544" w:rsidP="009A5859">
      <w:pPr>
        <w:jc w:val="both"/>
      </w:pPr>
      <w:r>
        <w:t xml:space="preserve">Den atlantiske laks migrerer til Grønland om sommeren, hvor den </w:t>
      </w:r>
      <w:r w:rsidR="00082977">
        <w:t xml:space="preserve">først </w:t>
      </w:r>
      <w:r>
        <w:t xml:space="preserve">ankommer til Sydgrønland og </w:t>
      </w:r>
      <w:r w:rsidR="00082977">
        <w:t>hen over</w:t>
      </w:r>
      <w:r>
        <w:t xml:space="preserve"> sommeren og efteråret bevæger sig nordover</w:t>
      </w:r>
      <w:r w:rsidR="00082977">
        <w:t>, primært langs Grønlands vestkyst</w:t>
      </w:r>
      <w:r>
        <w:t xml:space="preserve">. </w:t>
      </w:r>
      <w:r w:rsidR="007A265C">
        <w:t xml:space="preserve">Med henblik på </w:t>
      </w:r>
      <w:r w:rsidR="00082977">
        <w:t xml:space="preserve">denne forskydning i laksens ankomst op langs vestkysten, </w:t>
      </w:r>
      <w:r w:rsidR="009A5859">
        <w:t xml:space="preserve">er fiskeriet efter atlantisk laks inddelt i </w:t>
      </w:r>
      <w:r w:rsidR="00384D53" w:rsidRPr="00384D53">
        <w:t>3</w:t>
      </w:r>
      <w:r w:rsidR="009A5859">
        <w:t xml:space="preserve"> forvaltningsområder</w:t>
      </w:r>
      <w:r w:rsidR="00082977">
        <w:t xml:space="preserve">. Dette bidrager til at </w:t>
      </w:r>
      <w:r w:rsidR="009A5859">
        <w:t>sikre at hele Grønland f</w:t>
      </w:r>
      <w:r w:rsidR="00082977">
        <w:t>år</w:t>
      </w:r>
      <w:r w:rsidR="009A5859">
        <w:t xml:space="preserve"> adgang til fiskeriet efter laks</w:t>
      </w:r>
      <w:r w:rsidR="00082977">
        <w:t>.</w:t>
      </w:r>
    </w:p>
    <w:tbl>
      <w:tblPr>
        <w:tblStyle w:val="Tabel-Gitter"/>
        <w:tblW w:w="9387" w:type="dxa"/>
        <w:tblInd w:w="360" w:type="dxa"/>
        <w:tblLook w:val="04A0" w:firstRow="1" w:lastRow="0" w:firstColumn="1" w:lastColumn="0" w:noHBand="0" w:noVBand="1"/>
      </w:tblPr>
      <w:tblGrid>
        <w:gridCol w:w="3576"/>
        <w:gridCol w:w="5811"/>
      </w:tblGrid>
      <w:tr w:rsidR="009A5859" w:rsidRPr="001D0295" w14:paraId="44B3FA05" w14:textId="1D81DC98" w:rsidTr="007610F9">
        <w:tc>
          <w:tcPr>
            <w:tcW w:w="3576" w:type="dxa"/>
          </w:tcPr>
          <w:p w14:paraId="3341AB32" w14:textId="77777777" w:rsidR="009A5859" w:rsidRPr="001D0295" w:rsidRDefault="009A5859" w:rsidP="00E01A21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D0295">
              <w:rPr>
                <w:rFonts w:cs="Times New Roman"/>
                <w:b/>
                <w:color w:val="000000" w:themeColor="text1"/>
                <w:szCs w:val="24"/>
              </w:rPr>
              <w:t>Forvaltningsområde:</w:t>
            </w:r>
          </w:p>
        </w:tc>
        <w:tc>
          <w:tcPr>
            <w:tcW w:w="5811" w:type="dxa"/>
          </w:tcPr>
          <w:p w14:paraId="795172F4" w14:textId="77777777" w:rsidR="009A5859" w:rsidRPr="001D0295" w:rsidRDefault="009A5859" w:rsidP="00E01A21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D0295">
              <w:rPr>
                <w:rFonts w:cs="Times New Roman"/>
                <w:b/>
                <w:color w:val="000000" w:themeColor="text1"/>
                <w:szCs w:val="24"/>
              </w:rPr>
              <w:t>Områdedefinition:</w:t>
            </w:r>
          </w:p>
        </w:tc>
      </w:tr>
      <w:tr w:rsidR="009A5859" w:rsidRPr="007610F9" w14:paraId="056A6F98" w14:textId="6DB5DC39" w:rsidTr="007610F9">
        <w:tc>
          <w:tcPr>
            <w:tcW w:w="3576" w:type="dxa"/>
          </w:tcPr>
          <w:p w14:paraId="478B6390" w14:textId="2990A4FA" w:rsidR="009A5859" w:rsidRPr="0088531A" w:rsidRDefault="0088531A" w:rsidP="00E01A21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88531A">
              <w:rPr>
                <w:lang w:val="en-US"/>
              </w:rPr>
              <w:t>Nord</w:t>
            </w:r>
            <w:r w:rsidR="00825649">
              <w:rPr>
                <w:lang w:val="en-US"/>
              </w:rPr>
              <w:t>vest</w:t>
            </w:r>
            <w:proofErr w:type="spellEnd"/>
            <w:r w:rsidRPr="0088531A">
              <w:rPr>
                <w:lang w:val="en-US"/>
              </w:rPr>
              <w:t xml:space="preserve"> </w:t>
            </w:r>
          </w:p>
        </w:tc>
        <w:tc>
          <w:tcPr>
            <w:tcW w:w="5811" w:type="dxa"/>
          </w:tcPr>
          <w:p w14:paraId="49776BAC" w14:textId="6A9441B0" w:rsidR="009A5859" w:rsidRPr="007610F9" w:rsidRDefault="007610F9" w:rsidP="007610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DC">
              <w:t>Det geografiske område inden for 3 sømil uden for basislinjen fra et punkt på fastlandet (83°17'N, 44°00'V), derfra nord på langs 44°00'V til 3 sømil uden for basislinjen, der fra sydvest på langs 3 sømil uden for basislinjen til 64°15'N, derfra øst på langs 64°15'N til et punkt på fastlandet (64°15'N, 52°0,7'V), og derfra langs kysten til udgangspunktet (83°17'N, 44°00'V). Forvaltningsområdet er ekskl. fjordene der munder ud syd for 64°15'N, nærmere bestemt Nuuk fjorden.</w:t>
            </w:r>
          </w:p>
        </w:tc>
      </w:tr>
      <w:tr w:rsidR="009A5859" w:rsidRPr="001D0295" w14:paraId="4589C5A4" w14:textId="2FDCD895" w:rsidTr="007610F9">
        <w:tc>
          <w:tcPr>
            <w:tcW w:w="3576" w:type="dxa"/>
          </w:tcPr>
          <w:p w14:paraId="5F47BFFB" w14:textId="5AAC078A" w:rsidR="009A5859" w:rsidRPr="001D0295" w:rsidRDefault="0088531A" w:rsidP="00E01A21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8531A">
              <w:t>Syd</w:t>
            </w:r>
            <w:r w:rsidR="00825649">
              <w:t>vest</w:t>
            </w:r>
            <w:r w:rsidRPr="0088531A">
              <w:t xml:space="preserve"> </w:t>
            </w:r>
          </w:p>
        </w:tc>
        <w:tc>
          <w:tcPr>
            <w:tcW w:w="5811" w:type="dxa"/>
          </w:tcPr>
          <w:p w14:paraId="5E9CEF00" w14:textId="6BB42E98" w:rsidR="009A5859" w:rsidRPr="007610F9" w:rsidRDefault="007610F9" w:rsidP="007610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DC">
              <w:t xml:space="preserve">Det geografiske område inden for 3 sømil uden for basislinjen fra et punkt på fastlandet (64°15'N, 52°0,7'V), der fra vest på langs 64°15'N til 3 sømil uden for basislinjen, der fra syd på langs 3 sømil uden for basislinjen til 44°00'V, derfra nord på til et punkt på fastlandet (60°10,5'N, 44°00V), og derfra langs kysten til udgangspunktet (64°15'N, 52°0,7'V). Forvaltningsområdet er inkl. fjordene der munder ud syd for 64°15'N, nærmere bestemt Nuuk fjorden, og inkl. fjordene der munder ud vest for 44°00'V, nærmere bestemt Nup </w:t>
            </w:r>
            <w:proofErr w:type="spellStart"/>
            <w:r w:rsidRPr="004222DC">
              <w:t>Kangerdlua</w:t>
            </w:r>
            <w:proofErr w:type="spellEnd"/>
            <w:r w:rsidRPr="004222DC">
              <w:t xml:space="preserve"> og ekskl. fjordene der munder ud øst for 44°00'V, nærmere bestemt </w:t>
            </w:r>
            <w:proofErr w:type="spellStart"/>
            <w:r w:rsidRPr="004222DC">
              <w:t>Kangerdlugssuatsiaq</w:t>
            </w:r>
            <w:proofErr w:type="spellEnd"/>
            <w:r w:rsidRPr="004222DC">
              <w:t xml:space="preserve"> (Lindenow fjord).</w:t>
            </w:r>
          </w:p>
        </w:tc>
      </w:tr>
      <w:tr w:rsidR="00591B30" w:rsidRPr="001D0295" w14:paraId="138BD32F" w14:textId="77777777" w:rsidTr="007610F9">
        <w:tc>
          <w:tcPr>
            <w:tcW w:w="3576" w:type="dxa"/>
          </w:tcPr>
          <w:p w14:paraId="26E9028E" w14:textId="5915BE4D" w:rsidR="00591B30" w:rsidRDefault="00591B30" w:rsidP="00E01A21">
            <w:pPr>
              <w:jc w:val="both"/>
            </w:pPr>
            <w:r>
              <w:t>Østgrønland</w:t>
            </w:r>
          </w:p>
        </w:tc>
        <w:tc>
          <w:tcPr>
            <w:tcW w:w="5811" w:type="dxa"/>
          </w:tcPr>
          <w:p w14:paraId="5413B822" w14:textId="6EDF080D" w:rsidR="00591B30" w:rsidRPr="007610F9" w:rsidRDefault="007610F9" w:rsidP="007610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DC">
              <w:t xml:space="preserve">Det geografiske område inden for 3 sømil uden for basislinjen øst for 44°00'V, inkl. fjordene der munder ud øst for 44°00'V, nærmere bestemt </w:t>
            </w:r>
            <w:proofErr w:type="spellStart"/>
            <w:r w:rsidRPr="004222DC">
              <w:t>Kangerdlugssuatsiaq</w:t>
            </w:r>
            <w:proofErr w:type="spellEnd"/>
            <w:r w:rsidRPr="004222DC">
              <w:t xml:space="preserve"> (Lindenow fjord), og ekskl. fjordene der munder ud vest for 44°00'V, nærmere bestemt Nup </w:t>
            </w:r>
            <w:proofErr w:type="spellStart"/>
            <w:r w:rsidRPr="004222DC">
              <w:t>Kangerdlua</w:t>
            </w:r>
            <w:proofErr w:type="spellEnd"/>
            <w:r w:rsidRPr="004222DC">
              <w:t>.</w:t>
            </w:r>
          </w:p>
        </w:tc>
      </w:tr>
    </w:tbl>
    <w:p w14:paraId="242312F6" w14:textId="77777777" w:rsidR="00AE06E5" w:rsidRPr="009626A4" w:rsidRDefault="00AE06E5" w:rsidP="009626A4"/>
    <w:p w14:paraId="1EBBE0C5" w14:textId="1A320639" w:rsidR="009A5859" w:rsidRDefault="009A5859" w:rsidP="00A721F3">
      <w:pPr>
        <w:pStyle w:val="Overskrift3"/>
        <w:numPr>
          <w:ilvl w:val="2"/>
          <w:numId w:val="13"/>
        </w:numPr>
      </w:pPr>
      <w:bookmarkStart w:id="13" w:name="_Toc70320834"/>
      <w:r>
        <w:t>Fiskeri</w:t>
      </w:r>
      <w:r w:rsidR="008B3312">
        <w:t>periode</w:t>
      </w:r>
      <w:bookmarkEnd w:id="13"/>
    </w:p>
    <w:p w14:paraId="7649BF1E" w14:textId="56724568" w:rsidR="00835C0F" w:rsidRDefault="001121EC" w:rsidP="00826680">
      <w:pPr>
        <w:jc w:val="both"/>
      </w:pPr>
      <w:r>
        <w:t>Fiskeri efter atlantisk laks er tilladt i begrænsede perioder</w:t>
      </w:r>
      <w:r w:rsidR="00082977">
        <w:t>,</w:t>
      </w:r>
      <w:r>
        <w:t xml:space="preserve"> afhængigt af forvaltningsområde</w:t>
      </w:r>
      <w:r w:rsidR="00082977">
        <w:t>,</w:t>
      </w:r>
      <w:r>
        <w:t xml:space="preserve"> i henhold til Bekendtgørelsen om fisk</w:t>
      </w:r>
      <w:r w:rsidR="008B3312">
        <w:t>eri efter laks. Fiskeriperioderne</w:t>
      </w:r>
      <w:r>
        <w:t xml:space="preserve"> er fastsat efter</w:t>
      </w:r>
      <w:r w:rsidR="00082977">
        <w:t>,</w:t>
      </w:r>
      <w:r>
        <w:t xml:space="preserve"> hvornår laksen ankommer til de forskellige forvaltningsområder</w:t>
      </w:r>
      <w:r w:rsidR="002C7BE6">
        <w:t>:</w:t>
      </w:r>
      <w:r w:rsidR="002C7DDA">
        <w:t xml:space="preserve"> </w:t>
      </w:r>
    </w:p>
    <w:tbl>
      <w:tblPr>
        <w:tblStyle w:val="Tabel-Gitter"/>
        <w:tblW w:w="6978" w:type="dxa"/>
        <w:tblInd w:w="360" w:type="dxa"/>
        <w:tblLook w:val="04A0" w:firstRow="1" w:lastRow="0" w:firstColumn="1" w:lastColumn="0" w:noHBand="0" w:noVBand="1"/>
      </w:tblPr>
      <w:tblGrid>
        <w:gridCol w:w="3576"/>
        <w:gridCol w:w="3402"/>
      </w:tblGrid>
      <w:tr w:rsidR="001121EC" w:rsidRPr="001D0295" w14:paraId="4939753A" w14:textId="77777777" w:rsidTr="00E01A21">
        <w:tc>
          <w:tcPr>
            <w:tcW w:w="3576" w:type="dxa"/>
          </w:tcPr>
          <w:p w14:paraId="16162C3F" w14:textId="77777777" w:rsidR="001121EC" w:rsidRPr="001D0295" w:rsidRDefault="001121EC" w:rsidP="00E01A21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D0295">
              <w:rPr>
                <w:rFonts w:cs="Times New Roman"/>
                <w:b/>
                <w:color w:val="000000" w:themeColor="text1"/>
                <w:szCs w:val="24"/>
              </w:rPr>
              <w:t>Forvaltningsområde:</w:t>
            </w:r>
          </w:p>
        </w:tc>
        <w:tc>
          <w:tcPr>
            <w:tcW w:w="3402" w:type="dxa"/>
          </w:tcPr>
          <w:p w14:paraId="6BAC39FC" w14:textId="68BAF823" w:rsidR="001121EC" w:rsidRPr="001D0295" w:rsidRDefault="008B3312" w:rsidP="00E01A21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Fiskeriperiode</w:t>
            </w:r>
            <w:r w:rsidR="001121EC">
              <w:rPr>
                <w:rFonts w:cs="Times New Roman"/>
                <w:b/>
                <w:color w:val="000000" w:themeColor="text1"/>
                <w:szCs w:val="24"/>
              </w:rPr>
              <w:t>:</w:t>
            </w:r>
          </w:p>
        </w:tc>
      </w:tr>
      <w:tr w:rsidR="001121EC" w:rsidRPr="001D0295" w14:paraId="15DFDDD3" w14:textId="77777777" w:rsidTr="00E01A21">
        <w:tc>
          <w:tcPr>
            <w:tcW w:w="3576" w:type="dxa"/>
          </w:tcPr>
          <w:p w14:paraId="3C531580" w14:textId="340CF554" w:rsidR="001121EC" w:rsidRPr="001C7361" w:rsidRDefault="004B75DC" w:rsidP="00E01A21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1C7361">
              <w:rPr>
                <w:rFonts w:cs="Times New Roman"/>
                <w:color w:val="000000" w:themeColor="text1"/>
                <w:szCs w:val="24"/>
                <w:lang w:val="en-US"/>
              </w:rPr>
              <w:t>Nord</w:t>
            </w:r>
            <w:r w:rsidR="00825649">
              <w:rPr>
                <w:rFonts w:cs="Times New Roman"/>
                <w:color w:val="000000" w:themeColor="text1"/>
                <w:szCs w:val="24"/>
                <w:lang w:val="en-US"/>
              </w:rPr>
              <w:t>vest</w:t>
            </w:r>
            <w:proofErr w:type="spellEnd"/>
          </w:p>
        </w:tc>
        <w:tc>
          <w:tcPr>
            <w:tcW w:w="3402" w:type="dxa"/>
          </w:tcPr>
          <w:p w14:paraId="5A6CAAC3" w14:textId="30233DC9" w:rsidR="001121EC" w:rsidRPr="001D0295" w:rsidRDefault="008A2762" w:rsidP="00E01A21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1/9 – 31/10</w:t>
            </w:r>
          </w:p>
        </w:tc>
      </w:tr>
      <w:tr w:rsidR="001121EC" w:rsidRPr="001D0295" w14:paraId="79C5C014" w14:textId="77777777" w:rsidTr="00E01A21">
        <w:tc>
          <w:tcPr>
            <w:tcW w:w="3576" w:type="dxa"/>
          </w:tcPr>
          <w:p w14:paraId="700995C4" w14:textId="67EA5898" w:rsidR="001121EC" w:rsidRDefault="004B75DC" w:rsidP="00E01A21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Syd</w:t>
            </w:r>
            <w:r w:rsidR="00825649">
              <w:rPr>
                <w:rFonts w:cs="Times New Roman"/>
                <w:color w:val="000000" w:themeColor="text1"/>
                <w:szCs w:val="24"/>
              </w:rPr>
              <w:t>vest</w:t>
            </w:r>
          </w:p>
        </w:tc>
        <w:tc>
          <w:tcPr>
            <w:tcW w:w="3402" w:type="dxa"/>
          </w:tcPr>
          <w:p w14:paraId="3AC384AD" w14:textId="42ED192A" w:rsidR="001121EC" w:rsidRPr="001D0295" w:rsidRDefault="003668DE" w:rsidP="00E01A21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1/8 – 30/9</w:t>
            </w:r>
          </w:p>
        </w:tc>
      </w:tr>
      <w:tr w:rsidR="004B75DC" w:rsidRPr="001D0295" w14:paraId="0E1ECDD0" w14:textId="77777777" w:rsidTr="00E01A21">
        <w:tc>
          <w:tcPr>
            <w:tcW w:w="3576" w:type="dxa"/>
          </w:tcPr>
          <w:p w14:paraId="7849C25C" w14:textId="59C7E605" w:rsidR="004B75DC" w:rsidRDefault="004B75DC" w:rsidP="00E01A21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Øst</w:t>
            </w:r>
          </w:p>
        </w:tc>
        <w:tc>
          <w:tcPr>
            <w:tcW w:w="3402" w:type="dxa"/>
          </w:tcPr>
          <w:p w14:paraId="40B22AC0" w14:textId="4213AC81" w:rsidR="004B75DC" w:rsidRPr="001D0295" w:rsidRDefault="009177A8" w:rsidP="00E01A21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15</w:t>
            </w:r>
            <w:r w:rsidR="003668DE">
              <w:rPr>
                <w:rFonts w:cs="Times New Roman"/>
                <w:color w:val="000000" w:themeColor="text1"/>
                <w:szCs w:val="24"/>
              </w:rPr>
              <w:t xml:space="preserve">/8 – </w:t>
            </w:r>
            <w:r>
              <w:rPr>
                <w:rFonts w:cs="Times New Roman"/>
                <w:color w:val="000000" w:themeColor="text1"/>
                <w:szCs w:val="24"/>
              </w:rPr>
              <w:t>15</w:t>
            </w:r>
            <w:r w:rsidR="003668DE">
              <w:rPr>
                <w:rFonts w:cs="Times New Roman"/>
                <w:color w:val="000000" w:themeColor="text1"/>
                <w:szCs w:val="24"/>
              </w:rPr>
              <w:t>/</w:t>
            </w:r>
            <w:r>
              <w:rPr>
                <w:rFonts w:cs="Times New Roman"/>
                <w:color w:val="000000" w:themeColor="text1"/>
                <w:szCs w:val="24"/>
              </w:rPr>
              <w:t>10</w:t>
            </w:r>
          </w:p>
        </w:tc>
      </w:tr>
    </w:tbl>
    <w:p w14:paraId="291A41DD" w14:textId="77777777" w:rsidR="001121EC" w:rsidRDefault="001121EC" w:rsidP="00826680">
      <w:pPr>
        <w:jc w:val="both"/>
      </w:pPr>
    </w:p>
    <w:p w14:paraId="116E4D50" w14:textId="1FC2B739" w:rsidR="00AC36BC" w:rsidRPr="001121EC" w:rsidRDefault="00AC36BC" w:rsidP="00826680">
      <w:pPr>
        <w:jc w:val="both"/>
      </w:pPr>
      <w:r>
        <w:lastRenderedPageBreak/>
        <w:t>I henhold til Fiskeriloven</w:t>
      </w:r>
      <w:r w:rsidRPr="007D3153">
        <w:t xml:space="preserve"> ka</w:t>
      </w:r>
      <w:r>
        <w:t xml:space="preserve">n </w:t>
      </w:r>
      <w:proofErr w:type="spellStart"/>
      <w:r>
        <w:t>Naalakkersuisut</w:t>
      </w:r>
      <w:proofErr w:type="spellEnd"/>
      <w:r w:rsidRPr="007D3153">
        <w:t xml:space="preserve"> give meddelelse om, hvornår fiskeri kan påbegyndes og hvornår fiskeriet skal inds</w:t>
      </w:r>
      <w:r>
        <w:t xml:space="preserve">tilles. Det fremgår desuden af loven </w:t>
      </w:r>
      <w:r w:rsidRPr="007D3153">
        <w:t xml:space="preserve">at </w:t>
      </w:r>
      <w:proofErr w:type="spellStart"/>
      <w:r w:rsidRPr="007D3153">
        <w:t>Naalakkersuisut</w:t>
      </w:r>
      <w:proofErr w:type="spellEnd"/>
      <w:r w:rsidRPr="007D3153">
        <w:t xml:space="preserve"> kan udstede regler om beskyttelse af ressourcerne, herun</w:t>
      </w:r>
      <w:r>
        <w:t>der regler om fredningsperioder.</w:t>
      </w:r>
    </w:p>
    <w:p w14:paraId="2463BE26" w14:textId="183A1E3E" w:rsidR="00B124FF" w:rsidRPr="009575CE" w:rsidRDefault="008525F7" w:rsidP="00A721F3">
      <w:pPr>
        <w:pStyle w:val="Overskrift3"/>
        <w:numPr>
          <w:ilvl w:val="2"/>
          <w:numId w:val="13"/>
        </w:numPr>
      </w:pPr>
      <w:bookmarkStart w:id="14" w:name="_Toc70320835"/>
      <w:r>
        <w:t>Tekniske bevaringsforanstaltninger</w:t>
      </w:r>
      <w:bookmarkEnd w:id="14"/>
    </w:p>
    <w:p w14:paraId="689F88D4" w14:textId="135904AB" w:rsidR="00424596" w:rsidRDefault="004431CA" w:rsidP="004431CA">
      <w:pPr>
        <w:jc w:val="both"/>
      </w:pPr>
      <w:r>
        <w:t>Fiskeriet og forvaltningen af sårbare marine områder er reguleret efter bekendtgørelsen om tekniske bevaringsforanstaltninger</w:t>
      </w:r>
      <w:r w:rsidR="00B17D8E">
        <w:t>.</w:t>
      </w:r>
      <w:r w:rsidR="001A47FA">
        <w:t xml:space="preserve"> </w:t>
      </w:r>
      <w:r>
        <w:t>Bekendtgørelsen om fiskeri efter laks fastsætter yderligere en række betingelser</w:t>
      </w:r>
      <w:r w:rsidR="00424596">
        <w:t xml:space="preserve"> i</w:t>
      </w:r>
      <w:r w:rsidR="00B17D8E">
        <w:t xml:space="preserve"> forhold til fiskeriredskaber, </w:t>
      </w:r>
      <w:r>
        <w:t>mindstemål</w:t>
      </w:r>
      <w:r w:rsidR="00B17D8E">
        <w:t xml:space="preserve"> og mærkning af udstyr</w:t>
      </w:r>
      <w:r w:rsidR="00424596">
        <w:t>:</w:t>
      </w:r>
    </w:p>
    <w:p w14:paraId="499EC224" w14:textId="77777777" w:rsidR="00424596" w:rsidRDefault="00424596" w:rsidP="00424596">
      <w:pPr>
        <w:pStyle w:val="Listeafsnit"/>
        <w:numPr>
          <w:ilvl w:val="0"/>
          <w:numId w:val="45"/>
        </w:numPr>
        <w:jc w:val="both"/>
      </w:pPr>
      <w:r>
        <w:t>Erhvervsmæssigt fiskeri efter laks må kun foretages med:</w:t>
      </w:r>
    </w:p>
    <w:p w14:paraId="2F06FC64" w14:textId="77777777" w:rsidR="00424596" w:rsidRDefault="00424596" w:rsidP="00424596">
      <w:pPr>
        <w:pStyle w:val="Listeafsnit"/>
        <w:numPr>
          <w:ilvl w:val="0"/>
          <w:numId w:val="46"/>
        </w:numPr>
        <w:jc w:val="both"/>
      </w:pPr>
      <w:r>
        <w:t>Kroge, eller</w:t>
      </w:r>
    </w:p>
    <w:p w14:paraId="114F88C9" w14:textId="05E937CD" w:rsidR="00424596" w:rsidRDefault="00424596" w:rsidP="00424596">
      <w:pPr>
        <w:pStyle w:val="Listeafsnit"/>
        <w:numPr>
          <w:ilvl w:val="0"/>
          <w:numId w:val="46"/>
        </w:numPr>
        <w:jc w:val="both"/>
      </w:pPr>
      <w:r>
        <w:t>Op til 20 garn, hvis maskestørrelse i strakt mål er mindst 140 mm.</w:t>
      </w:r>
    </w:p>
    <w:p w14:paraId="5F0E7063" w14:textId="16B8AEC3" w:rsidR="00825649" w:rsidRDefault="00825649" w:rsidP="00424596">
      <w:pPr>
        <w:pStyle w:val="Listeafsnit"/>
        <w:numPr>
          <w:ilvl w:val="0"/>
          <w:numId w:val="46"/>
        </w:numPr>
        <w:jc w:val="both"/>
      </w:pPr>
      <w:r>
        <w:t>Op til 5 garn bundet</w:t>
      </w:r>
      <w:r w:rsidR="00E8021A">
        <w:t xml:space="preserve"> sammen</w:t>
      </w:r>
      <w:r>
        <w:t xml:space="preserve"> </w:t>
      </w:r>
    </w:p>
    <w:p w14:paraId="7C31F2FC" w14:textId="77777777" w:rsidR="002E1122" w:rsidRDefault="002E1122" w:rsidP="002E1122">
      <w:pPr>
        <w:pStyle w:val="Listeafsnit"/>
        <w:ind w:left="1530"/>
        <w:jc w:val="both"/>
      </w:pPr>
    </w:p>
    <w:p w14:paraId="05041A6B" w14:textId="77777777" w:rsidR="00424596" w:rsidRDefault="00424596" w:rsidP="00424596">
      <w:pPr>
        <w:pStyle w:val="Listeafsnit"/>
        <w:numPr>
          <w:ilvl w:val="0"/>
          <w:numId w:val="45"/>
        </w:numPr>
        <w:jc w:val="both"/>
      </w:pPr>
      <w:r>
        <w:t>Ikke-erhvervsmæssigt fiskeri efter laks må kun foretages med:</w:t>
      </w:r>
    </w:p>
    <w:p w14:paraId="5B6514C0" w14:textId="77777777" w:rsidR="00424596" w:rsidRDefault="00424596" w:rsidP="00424596">
      <w:pPr>
        <w:pStyle w:val="Listeafsnit"/>
        <w:numPr>
          <w:ilvl w:val="0"/>
          <w:numId w:val="47"/>
        </w:numPr>
        <w:jc w:val="both"/>
      </w:pPr>
      <w:r>
        <w:t>Kroge, eller</w:t>
      </w:r>
    </w:p>
    <w:p w14:paraId="6B5EA951" w14:textId="77777777" w:rsidR="00424596" w:rsidRDefault="00424596" w:rsidP="00424596">
      <w:pPr>
        <w:pStyle w:val="Listeafsnit"/>
        <w:numPr>
          <w:ilvl w:val="0"/>
          <w:numId w:val="47"/>
        </w:numPr>
        <w:jc w:val="both"/>
      </w:pPr>
      <w:r>
        <w:t>Fiskestang, eller</w:t>
      </w:r>
    </w:p>
    <w:p w14:paraId="3058D272" w14:textId="0A5FF8DE" w:rsidR="000D277A" w:rsidRDefault="00244B0F" w:rsidP="00424596">
      <w:pPr>
        <w:pStyle w:val="Listeafsnit"/>
        <w:numPr>
          <w:ilvl w:val="0"/>
          <w:numId w:val="47"/>
        </w:numPr>
        <w:jc w:val="both"/>
      </w:pPr>
      <w:r>
        <w:t>Med 1</w:t>
      </w:r>
      <w:r w:rsidR="008C2A96">
        <w:t xml:space="preserve"> garn af</w:t>
      </w:r>
      <w:r w:rsidR="00424596">
        <w:t xml:space="preserve"> 2.000 knuder, hvis maskestørrelse i strakt mål er mindst 140 mm.</w:t>
      </w:r>
      <w:r w:rsidR="004431CA">
        <w:t xml:space="preserve"> </w:t>
      </w:r>
    </w:p>
    <w:p w14:paraId="54742F0D" w14:textId="77777777" w:rsidR="009416DE" w:rsidRDefault="009416DE" w:rsidP="009416DE">
      <w:pPr>
        <w:pStyle w:val="Listeafsnit"/>
        <w:ind w:left="1530"/>
        <w:jc w:val="both"/>
      </w:pPr>
    </w:p>
    <w:p w14:paraId="1A2F9000" w14:textId="6335C89E" w:rsidR="00B17D8E" w:rsidRDefault="00B17D8E" w:rsidP="00B17D8E">
      <w:pPr>
        <w:pStyle w:val="Listeafsnit"/>
        <w:numPr>
          <w:ilvl w:val="0"/>
          <w:numId w:val="45"/>
        </w:numPr>
        <w:jc w:val="both"/>
      </w:pPr>
      <w:r>
        <w:t>Laksegarnet skal være mærket med ejerens fulde navn. Mærket skal være lavet i et vandbestandigt materiale.</w:t>
      </w:r>
    </w:p>
    <w:p w14:paraId="300D6EE4" w14:textId="10E339F7" w:rsidR="00662FF1" w:rsidRDefault="004C332D" w:rsidP="004C332D">
      <w:pPr>
        <w:jc w:val="both"/>
      </w:pPr>
      <w:r>
        <w:t>Fiskeriet reguleres altid efter den til enhver tid gældende lovgivning.</w:t>
      </w:r>
    </w:p>
    <w:p w14:paraId="50510A03" w14:textId="471CF07B" w:rsidR="00662FF1" w:rsidRPr="009575CE" w:rsidRDefault="00662FF1" w:rsidP="00662FF1">
      <w:pPr>
        <w:pStyle w:val="Overskrift3"/>
        <w:numPr>
          <w:ilvl w:val="2"/>
          <w:numId w:val="13"/>
        </w:numPr>
      </w:pPr>
      <w:bookmarkStart w:id="15" w:name="_Toc70320836"/>
      <w:r>
        <w:t>Sårbare marine områder</w:t>
      </w:r>
      <w:bookmarkEnd w:id="15"/>
    </w:p>
    <w:p w14:paraId="5E35F285" w14:textId="0E63E2D8" w:rsidR="00F63EE6" w:rsidRDefault="00F63EE6" w:rsidP="004431CA">
      <w:pPr>
        <w:jc w:val="both"/>
      </w:pPr>
      <w:proofErr w:type="spellStart"/>
      <w:r>
        <w:t>Naalakkersuisut</w:t>
      </w:r>
      <w:proofErr w:type="spellEnd"/>
      <w:r>
        <w:t xml:space="preserve"> </w:t>
      </w:r>
      <w:r w:rsidRPr="00153460">
        <w:t>tilsigter at hidtil upåvirkede marine økosystemer ikke skadepåvirkes.</w:t>
      </w:r>
      <w:r>
        <w:t xml:space="preserve"> </w:t>
      </w:r>
      <w:r w:rsidR="00170212">
        <w:t xml:space="preserve">I fiskeriet efter laks bruges garn, kroge og fiskestang, </w:t>
      </w:r>
      <w:r w:rsidR="005A262C">
        <w:t xml:space="preserve">som er </w:t>
      </w:r>
      <w:r w:rsidR="00170212">
        <w:t xml:space="preserve">redskaber </w:t>
      </w:r>
      <w:r w:rsidR="005A262C">
        <w:t xml:space="preserve">der </w:t>
      </w:r>
      <w:r w:rsidR="00170212">
        <w:t>alle er</w:t>
      </w:r>
      <w:r w:rsidRPr="00153460">
        <w:t xml:space="preserve"> skånsomme over for havbunden og sårbare marine habitater</w:t>
      </w:r>
      <w:r w:rsidR="00170212">
        <w:t>.</w:t>
      </w:r>
      <w:r>
        <w:t xml:space="preserve"> </w:t>
      </w:r>
      <w:r w:rsidR="00170212">
        <w:t>S</w:t>
      </w:r>
      <w:r>
        <w:t>trategien for beskyttelse af sårbare marine o</w:t>
      </w:r>
      <w:r w:rsidR="00170212">
        <w:t>mråder i fiskeriet efter laks</w:t>
      </w:r>
      <w:r w:rsidR="005A262C">
        <w:t xml:space="preserve"> er</w:t>
      </w:r>
      <w:r>
        <w:t xml:space="preserve">, at fiskeri er tilladt alle steder inden for forvaltningsområderne. Hvis der ved rapportering, videnskabelige undersøgelser eller kontrol konstateres en mærkbar ændring i fiskeriets </w:t>
      </w:r>
      <w:r w:rsidR="00F7296F">
        <w:t>udbredelse,</w:t>
      </w:r>
      <w:r>
        <w:t xml:space="preserve"> skal Departementet for Fiskeri, Fangst og Landbrug i samråd med G</w:t>
      </w:r>
      <w:r w:rsidR="00F7296F">
        <w:t>N</w:t>
      </w:r>
      <w:r>
        <w:t xml:space="preserve"> og Fiskerirådet vurdere om fiskeriet skal pålægges restriktioner for at beskytte eventuelle sårbare områder.</w:t>
      </w:r>
    </w:p>
    <w:p w14:paraId="29022CEC" w14:textId="77777777" w:rsidR="00662FF1" w:rsidRPr="009575CE" w:rsidRDefault="00662FF1" w:rsidP="004431CA">
      <w:pPr>
        <w:jc w:val="both"/>
      </w:pPr>
    </w:p>
    <w:p w14:paraId="73256701" w14:textId="56CCBF74" w:rsidR="00B124FF" w:rsidRDefault="00287772" w:rsidP="00662FF1">
      <w:pPr>
        <w:pStyle w:val="Overskrift2"/>
        <w:numPr>
          <w:ilvl w:val="1"/>
          <w:numId w:val="13"/>
        </w:numPr>
      </w:pPr>
      <w:bookmarkStart w:id="16" w:name="_Toc70320837"/>
      <w:r>
        <w:t>Forvaltning af bifangst</w:t>
      </w:r>
      <w:bookmarkEnd w:id="16"/>
    </w:p>
    <w:p w14:paraId="71050952" w14:textId="1F32797B" w:rsidR="006E70A0" w:rsidRDefault="00B66FE1" w:rsidP="007442B5">
      <w:pPr>
        <w:jc w:val="both"/>
      </w:pPr>
      <w:r>
        <w:t>Bifangst i fiskeriet skal håndteres og registreres i henhold til Selvstyrets bekendtgørelse om fiskeriets bifangster</w:t>
      </w:r>
      <w:r w:rsidR="00826680">
        <w:t>.</w:t>
      </w:r>
      <w:r w:rsidR="00CD68B6">
        <w:t xml:space="preserve"> Bekendtgørelsen definerer bifangst som fangst af all</w:t>
      </w:r>
      <w:r w:rsidR="00FD4110">
        <w:t>e levende organismer, når disse</w:t>
      </w:r>
      <w:r w:rsidR="00CD68B6">
        <w:t xml:space="preserve"> i</w:t>
      </w:r>
      <w:r w:rsidR="00FD4110">
        <w:t>kke er omfattet fiskerilicensen.</w:t>
      </w:r>
      <w:r w:rsidR="006B7A31">
        <w:t xml:space="preserve"> Alle bifangster skal registreres og rapporteres.</w:t>
      </w:r>
      <w:r w:rsidR="00E752B0">
        <w:t xml:space="preserve"> Alle fangster, inklusiv</w:t>
      </w:r>
      <w:r w:rsidR="00F7296F">
        <w:t>e</w:t>
      </w:r>
      <w:r w:rsidR="00E752B0">
        <w:t xml:space="preserve"> bifangst skal landes.</w:t>
      </w:r>
      <w:r w:rsidR="00F7296F">
        <w:t xml:space="preserve"> Ligeledes skal bifangst af la</w:t>
      </w:r>
      <w:r w:rsidR="00A02005">
        <w:t>ks i andre fiskerier</w:t>
      </w:r>
      <w:r w:rsidR="00F7296F">
        <w:t xml:space="preserve"> håndteres og registreres i henhold til Selvstyrets bekendtgørelse om fiskeriets bifangster.</w:t>
      </w:r>
    </w:p>
    <w:p w14:paraId="664C149D" w14:textId="74414CB0" w:rsidR="00485F3D" w:rsidRPr="005D2A84" w:rsidRDefault="005D2A84" w:rsidP="000D4BE2">
      <w:pPr>
        <w:jc w:val="both"/>
      </w:pPr>
      <w:r w:rsidRPr="00662FF1">
        <w:rPr>
          <w:rStyle w:val="Kommentarhenvisning"/>
          <w:sz w:val="22"/>
          <w:szCs w:val="22"/>
        </w:rPr>
        <w:t xml:space="preserve">Fangst af pukkellaks kan rapporteres på samme vis som atlantisk laks (se </w:t>
      </w:r>
      <w:r>
        <w:rPr>
          <w:rStyle w:val="Kommentarhenvisning"/>
          <w:sz w:val="22"/>
          <w:szCs w:val="22"/>
        </w:rPr>
        <w:t>afsnit</w:t>
      </w:r>
      <w:r w:rsidRPr="00662FF1">
        <w:rPr>
          <w:rStyle w:val="Kommentarhenvisning"/>
          <w:sz w:val="22"/>
          <w:szCs w:val="22"/>
        </w:rPr>
        <w:t xml:space="preserve"> 4 for rapportering). B</w:t>
      </w:r>
      <w:r w:rsidRPr="005D2A84">
        <w:t>illeder samt oplysninger om fangststed- og tidspunkt med videre må gerne sendes til GN.</w:t>
      </w:r>
    </w:p>
    <w:p w14:paraId="661440CD" w14:textId="6E788B75" w:rsidR="008B7A66" w:rsidRPr="006E70A0" w:rsidRDefault="008B142D" w:rsidP="008B142D">
      <w:pPr>
        <w:jc w:val="both"/>
      </w:pPr>
      <w:r>
        <w:lastRenderedPageBreak/>
        <w:t>Hvis der ved rapportering eller kontrol konstateres en høj bifangst i tid eller rum af en given art, skal Departementet for Fiskeri, Fangst og Landbrug</w:t>
      </w:r>
      <w:r w:rsidRPr="000D02FD">
        <w:t xml:space="preserve"> i samråd med G</w:t>
      </w:r>
      <w:r>
        <w:t xml:space="preserve">N </w:t>
      </w:r>
      <w:r w:rsidRPr="000D02FD">
        <w:t>og Fiskerirådet vurdere, om der skal tages særlige forholdsregler for at sikre, at bifangstniveauet holdes på et acceptabelt niveau under hensyntagen til artens biologiske status. Sådanne forholdsregler kan inkludere område- og periodelukninger eller andre tiltag der skal sikre at ingen arter belastes ud o</w:t>
      </w:r>
      <w:r>
        <w:t>ver deres biologiske potentiale.</w:t>
      </w:r>
    </w:p>
    <w:p w14:paraId="525549B9" w14:textId="090F5DCD" w:rsidR="00DB6EDE" w:rsidRPr="000A1E35" w:rsidRDefault="009F4E91" w:rsidP="00662FF1">
      <w:pPr>
        <w:pStyle w:val="Overskrift1"/>
        <w:numPr>
          <w:ilvl w:val="0"/>
          <w:numId w:val="13"/>
        </w:numPr>
      </w:pPr>
      <w:bookmarkStart w:id="17" w:name="_Toc70320838"/>
      <w:r>
        <w:t>Rapportering og kontrol</w:t>
      </w:r>
      <w:bookmarkEnd w:id="17"/>
    </w:p>
    <w:p w14:paraId="29AE5C25" w14:textId="7085A4E3" w:rsidR="00BA3652" w:rsidRDefault="00BA3652" w:rsidP="00662FF1">
      <w:pPr>
        <w:pStyle w:val="Overskrift2"/>
        <w:numPr>
          <w:ilvl w:val="1"/>
          <w:numId w:val="13"/>
        </w:numPr>
      </w:pPr>
      <w:bookmarkStart w:id="18" w:name="_Toc70320839"/>
      <w:r w:rsidRPr="000A1E35">
        <w:t>Rapportering</w:t>
      </w:r>
      <w:bookmarkEnd w:id="18"/>
    </w:p>
    <w:p w14:paraId="66E2AC45" w14:textId="02AA2F21" w:rsidR="007E4C7C" w:rsidRDefault="005467C9" w:rsidP="00502D12">
      <w:pPr>
        <w:jc w:val="both"/>
      </w:pPr>
      <w:r>
        <w:t xml:space="preserve">I henhold til Bekendtgørelsen om fiskeri efter laks </w:t>
      </w:r>
      <w:r w:rsidR="00FB2B67">
        <w:t xml:space="preserve">er </w:t>
      </w:r>
      <w:r>
        <w:t xml:space="preserve">der </w:t>
      </w:r>
      <w:r w:rsidR="00FB2B67">
        <w:t>rapporteringspligt for alle der fisker efter laks. Denne rapporteringspligt indebærer at man skal rapportere s</w:t>
      </w:r>
      <w:r w:rsidR="00F7296F">
        <w:t>in</w:t>
      </w:r>
      <w:r w:rsidR="00FB2B67">
        <w:t xml:space="preserve"> fiskeriaktivitet</w:t>
      </w:r>
      <w:r w:rsidR="00032D9E">
        <w:t>,</w:t>
      </w:r>
      <w:r w:rsidR="00FB2B67">
        <w:t xml:space="preserve"> hver gang man har røgtet sit garn eller fisket med krog eller fiskestang</w:t>
      </w:r>
      <w:r w:rsidR="006F00D4">
        <w:t>.</w:t>
      </w:r>
      <w:r w:rsidR="00FB2B67">
        <w:t xml:space="preserve"> </w:t>
      </w:r>
      <w:r w:rsidR="00032D9E">
        <w:t>Hvis man ikke har været ude og fiske, eller hvis man har fisket og ikke haft fangst</w:t>
      </w:r>
      <w:r w:rsidR="00F7296F">
        <w:t>,</w:t>
      </w:r>
      <w:r w:rsidR="00B91044">
        <w:t xml:space="preserve"> betegnes dette </w:t>
      </w:r>
      <w:r w:rsidR="00032D9E">
        <w:t>som en 0-fangst</w:t>
      </w:r>
      <w:r w:rsidR="00B91044">
        <w:t>,</w:t>
      </w:r>
      <w:r w:rsidR="00F7296F">
        <w:t xml:space="preserve"> som </w:t>
      </w:r>
      <w:r w:rsidR="00B91044">
        <w:t xml:space="preserve">også </w:t>
      </w:r>
      <w:r w:rsidR="00F7296F">
        <w:t xml:space="preserve">skal </w:t>
      </w:r>
      <w:r w:rsidR="00B91044">
        <w:t>rapporteres.</w:t>
      </w:r>
    </w:p>
    <w:p w14:paraId="47920E85" w14:textId="09AC3FE2" w:rsidR="00FB2B67" w:rsidRDefault="00032D9E" w:rsidP="00502D12">
      <w:pPr>
        <w:jc w:val="both"/>
      </w:pPr>
      <w:r>
        <w:t>Hvis man har fangst af laks, skal rapporteringen ske hurtigst muligt. Hvis man skal rapportere 0-fangst, skal dette ske</w:t>
      </w:r>
      <w:r w:rsidR="00FB2B67">
        <w:t xml:space="preserve"> </w:t>
      </w:r>
      <w:r w:rsidR="001652B1" w:rsidRPr="001652B1">
        <w:t>senest 14</w:t>
      </w:r>
      <w:r w:rsidR="00AB5226" w:rsidRPr="001652B1">
        <w:t xml:space="preserve"> dage efter fiskeriet er lukket</w:t>
      </w:r>
      <w:r>
        <w:t>. Hvis man ikke rapporter rettidigt</w:t>
      </w:r>
      <w:r w:rsidR="00AB5226">
        <w:t>, vil man ikke få udstedt licens året efter.</w:t>
      </w:r>
    </w:p>
    <w:p w14:paraId="00734DDA" w14:textId="72C9CE89" w:rsidR="00AB5226" w:rsidRDefault="00AB5226" w:rsidP="007E4C7C">
      <w:r>
        <w:t>Rapporteringen foregår via rapporteringsskema</w:t>
      </w:r>
      <w:r w:rsidR="00B91044">
        <w:t>et</w:t>
      </w:r>
      <w:r>
        <w:t xml:space="preserve"> </w:t>
      </w:r>
      <w:r w:rsidR="00B91044">
        <w:t>L</w:t>
      </w:r>
      <w:r>
        <w:t xml:space="preserve">aksejournalen, som findes på sullissivik.gl. </w:t>
      </w:r>
      <w:r w:rsidR="0096406E">
        <w:t>Laksejournalen kan</w:t>
      </w:r>
      <w:r>
        <w:t xml:space="preserve"> både udfyldes online </w:t>
      </w:r>
      <w:r w:rsidR="00B614EF">
        <w:t>og</w:t>
      </w:r>
      <w:r>
        <w:t xml:space="preserve"> printes ud og udfyldes i hånden.</w:t>
      </w:r>
      <w:r w:rsidR="006F00D4">
        <w:t xml:space="preserve"> </w:t>
      </w:r>
      <w:r w:rsidR="0096406E">
        <w:t xml:space="preserve">Udfyldes skemaet online bliver det automatisk sendt til </w:t>
      </w:r>
      <w:proofErr w:type="spellStart"/>
      <w:r w:rsidR="0096406E">
        <w:t>GFLKs</w:t>
      </w:r>
      <w:proofErr w:type="spellEnd"/>
      <w:r w:rsidR="0096406E">
        <w:t xml:space="preserve"> e-mail. Udfyldes Laksejournalen i hånden </w:t>
      </w:r>
      <w:r>
        <w:t xml:space="preserve">skal </w:t>
      </w:r>
      <w:r w:rsidR="0096406E">
        <w:t xml:space="preserve">den </w:t>
      </w:r>
      <w:r>
        <w:t xml:space="preserve">fremsendes til </w:t>
      </w:r>
      <w:r w:rsidR="00DA6CEF">
        <w:t>GFLK</w:t>
      </w:r>
      <w:r>
        <w:t>:</w:t>
      </w:r>
    </w:p>
    <w:p w14:paraId="23E21411" w14:textId="03EF7BD0" w:rsidR="00AB5226" w:rsidRPr="00DD65C5" w:rsidRDefault="00AB5226" w:rsidP="00DD65C5">
      <w:pPr>
        <w:spacing w:after="0"/>
        <w:rPr>
          <w:b/>
        </w:rPr>
      </w:pPr>
      <w:r w:rsidRPr="00DD65C5">
        <w:rPr>
          <w:b/>
        </w:rPr>
        <w:t>GFLK</w:t>
      </w:r>
    </w:p>
    <w:p w14:paraId="6FE95EFE" w14:textId="06479B5E" w:rsidR="00DD65C5" w:rsidRDefault="00DD65C5" w:rsidP="00DD65C5">
      <w:pPr>
        <w:spacing w:after="0"/>
      </w:pPr>
      <w:r>
        <w:t>Postboks 501</w:t>
      </w:r>
    </w:p>
    <w:p w14:paraId="5B311D8D" w14:textId="5ACC0BFA" w:rsidR="00DD65C5" w:rsidRDefault="00DD65C5" w:rsidP="00DD65C5">
      <w:pPr>
        <w:spacing w:after="0"/>
      </w:pPr>
      <w:r>
        <w:t>3900 Nuuk</w:t>
      </w:r>
    </w:p>
    <w:p w14:paraId="60F4672F" w14:textId="77777777" w:rsidR="0096406E" w:rsidRDefault="0096406E" w:rsidP="00DD65C5">
      <w:pPr>
        <w:spacing w:after="0"/>
      </w:pPr>
    </w:p>
    <w:p w14:paraId="73A194EA" w14:textId="05168A1E" w:rsidR="0096406E" w:rsidRDefault="0096406E" w:rsidP="0096406E">
      <w:pPr>
        <w:spacing w:after="0"/>
      </w:pPr>
      <w:r>
        <w:t>Eller</w:t>
      </w:r>
    </w:p>
    <w:p w14:paraId="4F2A040D" w14:textId="14534D60" w:rsidR="0096406E" w:rsidRDefault="0096406E" w:rsidP="0096406E">
      <w:pPr>
        <w:spacing w:after="0"/>
      </w:pPr>
      <w:r>
        <w:t xml:space="preserve">E-mail: </w:t>
      </w:r>
      <w:hyperlink r:id="rId12" w:history="1">
        <w:r w:rsidRPr="0096406E">
          <w:rPr>
            <w:rStyle w:val="Hyperlink"/>
          </w:rPr>
          <w:t>GFLK@nanoq.gl</w:t>
        </w:r>
      </w:hyperlink>
    </w:p>
    <w:p w14:paraId="19EA5745" w14:textId="7E4D8763" w:rsidR="0096406E" w:rsidRDefault="0096406E" w:rsidP="0096406E">
      <w:pPr>
        <w:spacing w:after="0"/>
      </w:pPr>
      <w:r>
        <w:t>Fax: 34 63 60</w:t>
      </w:r>
    </w:p>
    <w:p w14:paraId="7F4FCCC8" w14:textId="77777777" w:rsidR="00353487" w:rsidRDefault="00353487" w:rsidP="0096406E">
      <w:pPr>
        <w:spacing w:after="0"/>
      </w:pPr>
    </w:p>
    <w:p w14:paraId="53595A25" w14:textId="32A0F981" w:rsidR="00F05C4C" w:rsidRDefault="00F05C4C" w:rsidP="00F05C4C">
      <w:pPr>
        <w:pStyle w:val="Overskrift3"/>
      </w:pPr>
      <w:bookmarkStart w:id="19" w:name="_Toc70320840"/>
      <w:r>
        <w:t>4.1.1 Kommunikation</w:t>
      </w:r>
      <w:bookmarkEnd w:id="19"/>
    </w:p>
    <w:p w14:paraId="5743F048" w14:textId="27C0A973" w:rsidR="00DA6CEF" w:rsidRDefault="00207700" w:rsidP="00207700">
      <w:pPr>
        <w:jc w:val="both"/>
      </w:pPr>
      <w:r>
        <w:t>Fiskeriet efter laks forvaltes meget anderledes end andre kystnære fiskerier, både kommercielle</w:t>
      </w:r>
      <w:r w:rsidR="00B614EF">
        <w:t xml:space="preserve"> fiskerier</w:t>
      </w:r>
      <w:r>
        <w:t xml:space="preserve"> og fritidsfiskerier. I det kommercielle kystnære fiskeri modtages rapportering f.eks. via indhandlingsstederne og fiskerne skal ikke selv rapportere ti</w:t>
      </w:r>
      <w:r w:rsidR="00DA6CEF">
        <w:t>l GFLK</w:t>
      </w:r>
      <w:r>
        <w:t xml:space="preserve">. </w:t>
      </w:r>
      <w:r w:rsidR="00396A1A">
        <w:t>For alle</w:t>
      </w:r>
      <w:r>
        <w:t xml:space="preserve"> fritidsfiskerier gælder det</w:t>
      </w:r>
      <w:r w:rsidR="00396A1A">
        <w:t xml:space="preserve"> normalt</w:t>
      </w:r>
      <w:r>
        <w:t xml:space="preserve"> at alle har adgang til at forsyne sig selv, der er altså ikke krav om licens, rapportering og </w:t>
      </w:r>
      <w:r w:rsidR="00B614EF">
        <w:t>lignende</w:t>
      </w:r>
      <w:r>
        <w:t xml:space="preserve">. Dette betyder, at </w:t>
      </w:r>
      <w:r w:rsidR="00DA6CEF">
        <w:t>kommunikationen omkring fiskeriet og dets betingelser er meget vigtig for at sikre en god implementering</w:t>
      </w:r>
      <w:r w:rsidR="00A02005">
        <w:t xml:space="preserve"> og rapportering</w:t>
      </w:r>
      <w:r w:rsidR="00DA6CEF">
        <w:t xml:space="preserve">. Derfor arbejder Departementet for Fiskeri, Fangst og Landbrug </w:t>
      </w:r>
      <w:r w:rsidR="00B614EF">
        <w:t>samt</w:t>
      </w:r>
      <w:r w:rsidR="00DA6CEF">
        <w:t xml:space="preserve"> GFLK med en række værktøjer:</w:t>
      </w:r>
    </w:p>
    <w:p w14:paraId="6490A86C" w14:textId="0C682AED" w:rsidR="00F05C4C" w:rsidRDefault="00DA6CEF" w:rsidP="00DA6CEF">
      <w:pPr>
        <w:pStyle w:val="Listeafsnit"/>
        <w:numPr>
          <w:ilvl w:val="0"/>
          <w:numId w:val="44"/>
        </w:numPr>
        <w:jc w:val="both"/>
      </w:pPr>
      <w:r>
        <w:t xml:space="preserve">Pressemeddelelser; </w:t>
      </w:r>
      <w:r w:rsidR="00D421DA">
        <w:t xml:space="preserve">der kommunikeres ud til offentligheden angående TAC, start og lukning af fiskeriet samt rapportering. Pressemeddelelserne bliver også delt på </w:t>
      </w:r>
      <w:proofErr w:type="spellStart"/>
      <w:r w:rsidR="00D421DA">
        <w:t>Naalakkersuisuts</w:t>
      </w:r>
      <w:proofErr w:type="spellEnd"/>
      <w:r w:rsidR="00D421DA">
        <w:t xml:space="preserve"> </w:t>
      </w:r>
      <w:proofErr w:type="spellStart"/>
      <w:r w:rsidR="00D421DA">
        <w:t>facebook</w:t>
      </w:r>
      <w:proofErr w:type="spellEnd"/>
      <w:r w:rsidR="00D421DA">
        <w:t xml:space="preserve"> side,</w:t>
      </w:r>
    </w:p>
    <w:p w14:paraId="6768DB12" w14:textId="3D949DA5" w:rsidR="00D421DA" w:rsidRDefault="00D421DA" w:rsidP="00DA6CEF">
      <w:pPr>
        <w:pStyle w:val="Listeafsnit"/>
        <w:numPr>
          <w:ilvl w:val="0"/>
          <w:numId w:val="44"/>
        </w:numPr>
        <w:jc w:val="both"/>
      </w:pPr>
      <w:r>
        <w:lastRenderedPageBreak/>
        <w:t>Radiospots; hvert år iværksættes en radiokampagne som kører dagligt under fiskerisæsonen i national radio angående krav om licens og rapportering,</w:t>
      </w:r>
    </w:p>
    <w:p w14:paraId="0970AB05" w14:textId="25A3E7E9" w:rsidR="00D421DA" w:rsidRDefault="00D421DA" w:rsidP="00DA6CEF">
      <w:pPr>
        <w:pStyle w:val="Listeafsnit"/>
        <w:numPr>
          <w:ilvl w:val="0"/>
          <w:numId w:val="44"/>
        </w:numPr>
        <w:jc w:val="both"/>
      </w:pPr>
      <w:r>
        <w:t>SMS; hvert år udsender GFLK løbende sms’er til de fiskere</w:t>
      </w:r>
      <w:r w:rsidR="00B614EF">
        <w:t>,</w:t>
      </w:r>
      <w:r>
        <w:t xml:space="preserve"> som har angivet deres mobiln</w:t>
      </w:r>
      <w:r w:rsidR="00B614EF">
        <w:t>ummer</w:t>
      </w:r>
      <w:r>
        <w:t xml:space="preserve"> </w:t>
      </w:r>
      <w:r w:rsidR="00B614EF">
        <w:t>p</w:t>
      </w:r>
      <w:r>
        <w:t>å ansøgning</w:t>
      </w:r>
      <w:r w:rsidR="00B614EF">
        <w:t>en</w:t>
      </w:r>
      <w:r>
        <w:t xml:space="preserve">, hvor de mindes om at rapportere og får status på fiskeriet, </w:t>
      </w:r>
    </w:p>
    <w:p w14:paraId="7BC0F160" w14:textId="749C7A9D" w:rsidR="00D421DA" w:rsidRDefault="00D421DA" w:rsidP="00DA6CEF">
      <w:pPr>
        <w:pStyle w:val="Listeafsnit"/>
        <w:numPr>
          <w:ilvl w:val="0"/>
          <w:numId w:val="44"/>
        </w:numPr>
        <w:jc w:val="both"/>
      </w:pPr>
      <w:r>
        <w:t xml:space="preserve">Facebook </w:t>
      </w:r>
      <w:proofErr w:type="spellStart"/>
      <w:r>
        <w:t>ads</w:t>
      </w:r>
      <w:proofErr w:type="spellEnd"/>
      <w:r>
        <w:t xml:space="preserve">; </w:t>
      </w:r>
      <w:r w:rsidR="003C42E6">
        <w:t>facebookreklamer for online rapportering</w:t>
      </w:r>
      <w:r w:rsidR="00A60496">
        <w:t xml:space="preserve"> på Sullissivik.gl </w:t>
      </w:r>
    </w:p>
    <w:p w14:paraId="10BD3320" w14:textId="0DA5D13F" w:rsidR="00C4379D" w:rsidRDefault="00C4379D" w:rsidP="00DA6CEF">
      <w:pPr>
        <w:pStyle w:val="Listeafsnit"/>
        <w:numPr>
          <w:ilvl w:val="0"/>
          <w:numId w:val="44"/>
        </w:numPr>
        <w:jc w:val="both"/>
      </w:pPr>
      <w:r>
        <w:t>Bilag til licens</w:t>
      </w:r>
      <w:r w:rsidR="00A93671">
        <w:t>, ved licensudstedelse,</w:t>
      </w:r>
      <w:r>
        <w:t xml:space="preserve"> om rapportering og regler</w:t>
      </w:r>
      <w:r w:rsidR="00B614EF">
        <w:t xml:space="preserve"> i fiskeriet </w:t>
      </w:r>
    </w:p>
    <w:p w14:paraId="24226EE3" w14:textId="78337D10" w:rsidR="003C42E6" w:rsidRDefault="006C3D76" w:rsidP="006C3D76">
      <w:pPr>
        <w:jc w:val="both"/>
      </w:pPr>
      <w:r>
        <w:t>Disse værktøjer</w:t>
      </w:r>
      <w:r w:rsidR="00B614EF">
        <w:t>,</w:t>
      </w:r>
      <w:r>
        <w:t xml:space="preserve"> </w:t>
      </w:r>
      <w:r w:rsidR="00B614EF">
        <w:t>og</w:t>
      </w:r>
      <w:r>
        <w:t xml:space="preserve"> andre</w:t>
      </w:r>
      <w:r w:rsidR="00B614EF">
        <w:t>,</w:t>
      </w:r>
      <w:r w:rsidR="004D60CE">
        <w:t xml:space="preserve"> vil</w:t>
      </w:r>
      <w:r>
        <w:t xml:space="preserve"> blive brugt til at sikre en god kommunikation om forvaltningen af fiskeriet efter laks</w:t>
      </w:r>
      <w:r w:rsidR="00B614EF">
        <w:t>,</w:t>
      </w:r>
      <w:r>
        <w:t xml:space="preserve"> samt fortsat forbedret rapportering</w:t>
      </w:r>
      <w:r w:rsidR="004D60CE">
        <w:t xml:space="preserve"> i hele gyldighedsperioden</w:t>
      </w:r>
      <w:r>
        <w:t>.</w:t>
      </w:r>
    </w:p>
    <w:p w14:paraId="6A51C1D3" w14:textId="77777777" w:rsidR="00662FF1" w:rsidRPr="00F05C4C" w:rsidRDefault="00662FF1" w:rsidP="006C3D76">
      <w:pPr>
        <w:jc w:val="both"/>
      </w:pPr>
    </w:p>
    <w:p w14:paraId="056BBA74" w14:textId="1A4CF5BE" w:rsidR="003C4F4B" w:rsidRPr="003C4F4B" w:rsidRDefault="003C4F4B" w:rsidP="00662FF1">
      <w:pPr>
        <w:pStyle w:val="Overskrift2"/>
        <w:numPr>
          <w:ilvl w:val="1"/>
          <w:numId w:val="13"/>
        </w:numPr>
        <w:rPr>
          <w:lang w:val="en-US"/>
        </w:rPr>
      </w:pPr>
      <w:bookmarkStart w:id="20" w:name="_Toc70320841"/>
      <w:r w:rsidRPr="00DA6CEF">
        <w:rPr>
          <w:lang w:val="en-US"/>
        </w:rPr>
        <w:t xml:space="preserve">Monitoring, Control, </w:t>
      </w:r>
      <w:r w:rsidRPr="003C4F4B">
        <w:rPr>
          <w:lang w:val="en-US"/>
        </w:rPr>
        <w:t>and Surveillance M</w:t>
      </w:r>
      <w:r w:rsidR="00193BB8">
        <w:rPr>
          <w:lang w:val="en-US"/>
        </w:rPr>
        <w:t>CS</w:t>
      </w:r>
      <w:r w:rsidRPr="003C4F4B">
        <w:rPr>
          <w:lang w:val="en-US"/>
        </w:rPr>
        <w:t>)</w:t>
      </w:r>
      <w:bookmarkEnd w:id="20"/>
    </w:p>
    <w:p w14:paraId="5D42C691" w14:textId="2028F48A" w:rsidR="00DD0872" w:rsidRDefault="00DD0872" w:rsidP="00084345">
      <w:r>
        <w:t xml:space="preserve">Kontrol af fiskerierne varetages af GFLK gennem fysisk og administrativ kontrol. </w:t>
      </w:r>
    </w:p>
    <w:p w14:paraId="65C89C5D" w14:textId="77777777" w:rsidR="00DD0872" w:rsidRDefault="00DD0872" w:rsidP="00084345">
      <w:r>
        <w:t>Kontrol af kystnære fiskerier foretages på følgende måder:</w:t>
      </w:r>
    </w:p>
    <w:p w14:paraId="18890826" w14:textId="69630DAF" w:rsidR="00084345" w:rsidRDefault="00DD0872" w:rsidP="00084345">
      <w:pPr>
        <w:pStyle w:val="Listeafsnit"/>
        <w:numPr>
          <w:ilvl w:val="0"/>
          <w:numId w:val="42"/>
        </w:numPr>
        <w:spacing w:after="0"/>
      </w:pPr>
      <w:r>
        <w:t xml:space="preserve">Inspektion </w:t>
      </w:r>
      <w:r w:rsidR="00663824">
        <w:t>af det kystnære fiskeri</w:t>
      </w:r>
      <w:r>
        <w:t xml:space="preserve"> </w:t>
      </w:r>
    </w:p>
    <w:p w14:paraId="1F6724B3" w14:textId="495C3AC4" w:rsidR="00663824" w:rsidRDefault="00663824" w:rsidP="00084345">
      <w:pPr>
        <w:pStyle w:val="Listeafsnit"/>
        <w:numPr>
          <w:ilvl w:val="0"/>
          <w:numId w:val="42"/>
        </w:numPr>
        <w:spacing w:after="0"/>
      </w:pPr>
      <w:r>
        <w:t>Brætkontrol</w:t>
      </w:r>
    </w:p>
    <w:p w14:paraId="72473C5A" w14:textId="2400E7C9" w:rsidR="00663824" w:rsidRDefault="00663824">
      <w:pPr>
        <w:pStyle w:val="Listeafsnit"/>
        <w:numPr>
          <w:ilvl w:val="0"/>
          <w:numId w:val="42"/>
        </w:numPr>
        <w:spacing w:after="0"/>
      </w:pPr>
      <w:r>
        <w:t>Registrering og validering af indkommende rapporter fra laksefiskeriet</w:t>
      </w:r>
    </w:p>
    <w:p w14:paraId="42D58762" w14:textId="77777777" w:rsidR="00014576" w:rsidRDefault="00014576" w:rsidP="00084345">
      <w:pPr>
        <w:pStyle w:val="Listeafsnit"/>
        <w:spacing w:after="0"/>
        <w:ind w:left="0"/>
      </w:pPr>
    </w:p>
    <w:p w14:paraId="235DE3EF" w14:textId="41E0F47D" w:rsidR="00DD0872" w:rsidRDefault="00DD0872" w:rsidP="00084345">
      <w:pPr>
        <w:jc w:val="both"/>
      </w:pPr>
      <w:r>
        <w:t xml:space="preserve">Den administrative kontrol foregår på </w:t>
      </w:r>
      <w:proofErr w:type="spellStart"/>
      <w:r>
        <w:t>GFLK’s</w:t>
      </w:r>
      <w:proofErr w:type="spellEnd"/>
      <w:r>
        <w:t xml:space="preserve"> hovedkontor i Nuuk. Kontrollen foregår ved, at oplysninger, som tilgår GFLK i kraft af rapporteringspligten, verificeres.</w:t>
      </w:r>
      <w:r w:rsidR="0096406E">
        <w:t xml:space="preserve"> På baggrund af indkommende </w:t>
      </w:r>
      <w:r w:rsidR="00F64DDA">
        <w:t xml:space="preserve">data fra rapporteringen beregner GFLK kvoteoptaget. </w:t>
      </w:r>
    </w:p>
    <w:p w14:paraId="63FDFC6C" w14:textId="01E6A19B" w:rsidR="00DD0872" w:rsidRDefault="00F64DDA" w:rsidP="00084345">
      <w:pPr>
        <w:jc w:val="both"/>
      </w:pPr>
      <w:r>
        <w:t xml:space="preserve">Igennem fiskerisæsonen, laves der </w:t>
      </w:r>
      <w:r w:rsidR="00DD0872">
        <w:t xml:space="preserve">løbende simple fremskrivninger af kvotetrækket, så det kan estimeres hvornår fiskeriet skal lukkes. </w:t>
      </w:r>
      <w:r>
        <w:t xml:space="preserve">Disse fremskrivninger bygger på data fra seneste års fiskerier (fangster på samme tidspunkt), samt indkommende data fra </w:t>
      </w:r>
      <w:proofErr w:type="gramStart"/>
      <w:r>
        <w:t>indeværende</w:t>
      </w:r>
      <w:proofErr w:type="gramEnd"/>
      <w:r>
        <w:t xml:space="preserve"> sæson.</w:t>
      </w:r>
    </w:p>
    <w:p w14:paraId="5059E9B1" w14:textId="77777777" w:rsidR="00DD0872" w:rsidRDefault="00DD0872" w:rsidP="00084345">
      <w:pPr>
        <w:jc w:val="both"/>
      </w:pPr>
      <w:r>
        <w:t xml:space="preserve">I få tilfælde kan det ske, at der er en </w:t>
      </w:r>
      <w:proofErr w:type="spellStart"/>
      <w:r>
        <w:t>kvoterest</w:t>
      </w:r>
      <w:proofErr w:type="spellEnd"/>
      <w:r>
        <w:t xml:space="preserve"> tilbage i et givent område efter lukning. I disse tilfælde vurderer GFLK i samarbejde med APNN, om kvoteresten giver anledning til en genåbning. </w:t>
      </w:r>
    </w:p>
    <w:p w14:paraId="6D076514" w14:textId="2D2D751B" w:rsidR="00DD0872" w:rsidRDefault="00DD0872" w:rsidP="00682BD3">
      <w:pPr>
        <w:jc w:val="both"/>
      </w:pPr>
      <w:r>
        <w:t xml:space="preserve">GFLK </w:t>
      </w:r>
      <w:r w:rsidR="00F64DDA">
        <w:t xml:space="preserve">har </w:t>
      </w:r>
      <w:r>
        <w:t>et korps af fiskerikontrollører</w:t>
      </w:r>
      <w:r w:rsidR="00F64DDA">
        <w:t>,</w:t>
      </w:r>
      <w:r>
        <w:t xml:space="preserve"> som kontrollere</w:t>
      </w:r>
      <w:r w:rsidR="00F64DDA">
        <w:t>r</w:t>
      </w:r>
      <w:r>
        <w:t xml:space="preserve"> det kystnære fiskeri til søs og ved landinger. </w:t>
      </w:r>
      <w:r w:rsidR="00F64DDA">
        <w:t>I løbet af fiskerisæsonen efter laks bliver der foretaget kontrolkampagner, hvor fiskerikontrollører laver stikprøvevise kontrolindsatser</w:t>
      </w:r>
      <w:r w:rsidR="00B71182">
        <w:t xml:space="preserve"> af redskaber, fiskere, landinger og brætsalg</w:t>
      </w:r>
      <w:r w:rsidR="00F64DDA">
        <w:t xml:space="preserve">. </w:t>
      </w:r>
    </w:p>
    <w:p w14:paraId="3B053EE5" w14:textId="5D85B4F6" w:rsidR="00DD0872" w:rsidRDefault="00DD0872" w:rsidP="00084345">
      <w:r>
        <w:t>GFLK har myndigheden til at lukke alle fiskerier. Ved lukning udsendes en pressemeddelelse</w:t>
      </w:r>
      <w:r w:rsidR="00A13F8F">
        <w:t xml:space="preserve"> og sms til fiskerne</w:t>
      </w:r>
      <w:r>
        <w:t>.</w:t>
      </w:r>
    </w:p>
    <w:p w14:paraId="6D7C1E20" w14:textId="77777777" w:rsidR="00662FF1" w:rsidRDefault="00662FF1" w:rsidP="00084345"/>
    <w:p w14:paraId="584D5453" w14:textId="77777777" w:rsidR="00DD0872" w:rsidRPr="00DD0872" w:rsidRDefault="00DD0872" w:rsidP="00DD0872">
      <w:pPr>
        <w:keepNext/>
        <w:keepLines/>
        <w:numPr>
          <w:ilvl w:val="1"/>
          <w:numId w:val="39"/>
        </w:numPr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21" w:name="_Toc53763960"/>
      <w:bookmarkStart w:id="22" w:name="_Toc70320842"/>
      <w:r w:rsidRPr="00DD087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Anmeldelser</w:t>
      </w:r>
      <w:bookmarkEnd w:id="21"/>
      <w:bookmarkEnd w:id="22"/>
      <w:r w:rsidRPr="00DD087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</w:p>
    <w:p w14:paraId="29A8E73E" w14:textId="77777777" w:rsidR="00DD0872" w:rsidRPr="00DD0872" w:rsidRDefault="00DD0872" w:rsidP="00DD0872">
      <w:pPr>
        <w:jc w:val="both"/>
      </w:pPr>
      <w:r w:rsidRPr="00DD0872">
        <w:t>GFLK kan indgive politianmeldelse ved overtrædelse af reglerne for fiskeriet.</w:t>
      </w:r>
    </w:p>
    <w:p w14:paraId="5B2292A0" w14:textId="3DAB52DA" w:rsidR="00662FF1" w:rsidRDefault="00DD087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DD0872">
        <w:t>Al overtrædelse af bestemmelserne i gældende lovgivning kan medføre bøde. Al relevant lovgivning om fiskeri i Grønland kan tilgås på www.lovgivning.gl</w:t>
      </w:r>
      <w:bookmarkStart w:id="23" w:name="_Toc51155973"/>
      <w:bookmarkStart w:id="24" w:name="_Toc52779007"/>
    </w:p>
    <w:p w14:paraId="0B2A26F5" w14:textId="25277FFA" w:rsidR="00155B18" w:rsidRPr="00D71984" w:rsidRDefault="00155B18" w:rsidP="00A71E40">
      <w:pPr>
        <w:pStyle w:val="Overskrift2"/>
      </w:pPr>
      <w:bookmarkStart w:id="25" w:name="_Toc70320843"/>
      <w:r>
        <w:lastRenderedPageBreak/>
        <w:t>Bilag 1. Gældende lovgivning af særlig relevans</w:t>
      </w:r>
      <w:bookmarkEnd w:id="23"/>
      <w:bookmarkEnd w:id="24"/>
      <w:bookmarkEnd w:id="25"/>
    </w:p>
    <w:p w14:paraId="6B2546DD" w14:textId="77777777" w:rsidR="00155B18" w:rsidRPr="00AD4ACF" w:rsidRDefault="00155B18" w:rsidP="00155B18">
      <w:pPr>
        <w:pStyle w:val="Listeafsnit"/>
        <w:numPr>
          <w:ilvl w:val="0"/>
          <w:numId w:val="41"/>
        </w:numPr>
        <w:jc w:val="both"/>
      </w:pPr>
      <w:r w:rsidRPr="0026272E">
        <w:rPr>
          <w:iCs/>
        </w:rPr>
        <w:t>Landstingslov nr. 18 af 31. oktober 1996 (med senere ændringer) om fiskeri</w:t>
      </w:r>
    </w:p>
    <w:p w14:paraId="2FE3F202" w14:textId="53BD6185" w:rsidR="00AD4ACF" w:rsidRPr="00AD4ACF" w:rsidRDefault="00AD4ACF" w:rsidP="00155B18">
      <w:pPr>
        <w:pStyle w:val="Listeafsnit"/>
        <w:numPr>
          <w:ilvl w:val="0"/>
          <w:numId w:val="41"/>
        </w:numPr>
        <w:jc w:val="both"/>
        <w:rPr>
          <w:highlight w:val="yellow"/>
        </w:rPr>
      </w:pPr>
      <w:r w:rsidRPr="00AD4ACF">
        <w:rPr>
          <w:iCs/>
          <w:highlight w:val="yellow"/>
        </w:rPr>
        <w:t>Selvstyrets Bekendtgørelse nr. x af x. 2021 om fiskeri efter laks</w:t>
      </w:r>
    </w:p>
    <w:p w14:paraId="101C7F87" w14:textId="3C8F4867" w:rsidR="00155B18" w:rsidRDefault="00871E4A" w:rsidP="00155B18">
      <w:pPr>
        <w:pStyle w:val="Listeafsnit"/>
        <w:numPr>
          <w:ilvl w:val="0"/>
          <w:numId w:val="41"/>
        </w:numPr>
        <w:jc w:val="both"/>
      </w:pPr>
      <w:r>
        <w:t>Selvstyrets Bekendtgørelse nr. 47 af 18. december 2020</w:t>
      </w:r>
      <w:r w:rsidR="00155B18" w:rsidRPr="0026272E">
        <w:t xml:space="preserve"> om licens og kvoter til fiskeri</w:t>
      </w:r>
    </w:p>
    <w:p w14:paraId="30551F75" w14:textId="77777777" w:rsidR="00155B18" w:rsidRDefault="00155B18" w:rsidP="00155B18">
      <w:pPr>
        <w:pStyle w:val="Listeafsnit"/>
        <w:numPr>
          <w:ilvl w:val="0"/>
          <w:numId w:val="41"/>
        </w:numPr>
        <w:jc w:val="both"/>
      </w:pPr>
      <w:r w:rsidRPr="009E62A3">
        <w:t>Selvstyrets bekendtgørelse nr. 4 af 30. marts 2017 om tekniske bevaringsforanstaltninger i fiskeriet</w:t>
      </w:r>
    </w:p>
    <w:p w14:paraId="4CA494EF" w14:textId="77777777" w:rsidR="00155B18" w:rsidRDefault="00155B18" w:rsidP="00155B18">
      <w:pPr>
        <w:pStyle w:val="Listeafsnit"/>
        <w:numPr>
          <w:ilvl w:val="0"/>
          <w:numId w:val="41"/>
        </w:numPr>
        <w:jc w:val="both"/>
      </w:pPr>
      <w:r>
        <w:t>Selvstyrets bekendtgørelse nr. 14. af 6. december 2011 om fiskeriets bifangster</w:t>
      </w:r>
    </w:p>
    <w:p w14:paraId="60F26EF6" w14:textId="77777777" w:rsidR="00155B18" w:rsidRPr="0015086C" w:rsidRDefault="00155B18" w:rsidP="00155B18">
      <w:pPr>
        <w:pStyle w:val="Listeafsnit"/>
        <w:numPr>
          <w:ilvl w:val="0"/>
          <w:numId w:val="41"/>
        </w:numPr>
        <w:jc w:val="both"/>
      </w:pPr>
      <w:r w:rsidRPr="0015086C">
        <w:t xml:space="preserve">Selvstyrets bekendtgørelse nr. 7 af 4. april 2016 om rapportering af </w:t>
      </w:r>
      <w:proofErr w:type="spellStart"/>
      <w:r w:rsidRPr="0015086C">
        <w:t>indhandlinger</w:t>
      </w:r>
      <w:proofErr w:type="spellEnd"/>
      <w:r w:rsidRPr="0015086C">
        <w:t xml:space="preserve"> af fisk og fiskeprodukter</w:t>
      </w:r>
    </w:p>
    <w:p w14:paraId="5CAD75BB" w14:textId="77777777" w:rsidR="00155B18" w:rsidRDefault="00E43445" w:rsidP="00155B18">
      <w:pPr>
        <w:pStyle w:val="Listeafsnit"/>
        <w:numPr>
          <w:ilvl w:val="0"/>
          <w:numId w:val="41"/>
        </w:numPr>
        <w:jc w:val="both"/>
      </w:pPr>
      <w:hyperlink r:id="rId13" w:tgtFrame="_blank" w:history="1">
        <w:r w:rsidR="00155B18" w:rsidRPr="001A7870">
          <w:t>Hjemmestyrets bekendtgørelse nr. 3 af 18. marts 2004 om fiskeriobservatørers opgaver og beføjelser</w:t>
        </w:r>
      </w:hyperlink>
    </w:p>
    <w:p w14:paraId="058A6AF7" w14:textId="3D197FDA" w:rsidR="00155B18" w:rsidRDefault="00E43445" w:rsidP="00155B18">
      <w:pPr>
        <w:pStyle w:val="Listeafsnit"/>
        <w:numPr>
          <w:ilvl w:val="0"/>
          <w:numId w:val="41"/>
        </w:numPr>
        <w:jc w:val="both"/>
      </w:pPr>
      <w:hyperlink r:id="rId14" w:tgtFrame="_blank" w:history="1">
        <w:r w:rsidR="00871E4A">
          <w:t>Selvstyrets bekendtgørelse nr. 48 af 18. december 2020</w:t>
        </w:r>
        <w:r w:rsidR="00155B18" w:rsidRPr="001A7870">
          <w:t xml:space="preserve"> om beregningsmetoder ved rapportering af visse fangster</w:t>
        </w:r>
      </w:hyperlink>
    </w:p>
    <w:p w14:paraId="2A364C04" w14:textId="397B522D" w:rsidR="00155B18" w:rsidRDefault="00155B18" w:rsidP="00155B18">
      <w:pPr>
        <w:ind w:firstLine="360"/>
        <w:jc w:val="both"/>
      </w:pPr>
      <w:r w:rsidRPr="00CF5089">
        <w:t>Al lovgivning</w:t>
      </w:r>
      <w:r>
        <w:t xml:space="preserve">, herunder </w:t>
      </w:r>
      <w:r w:rsidRPr="00CF5089">
        <w:t xml:space="preserve">om </w:t>
      </w:r>
      <w:r>
        <w:t>fiskeri i Grønland</w:t>
      </w:r>
      <w:r w:rsidR="00B614EF">
        <w:t>,</w:t>
      </w:r>
      <w:r w:rsidRPr="00CF5089">
        <w:t xml:space="preserve"> kan tilgås på lovgivning.gl</w:t>
      </w:r>
    </w:p>
    <w:p w14:paraId="1D6A1EBE" w14:textId="77777777" w:rsidR="00155B18" w:rsidRPr="007A0D9C" w:rsidRDefault="00155B18" w:rsidP="00555F29">
      <w:pPr>
        <w:ind w:left="426"/>
      </w:pPr>
    </w:p>
    <w:p w14:paraId="1F1244E9" w14:textId="77777777" w:rsidR="006E6A3D" w:rsidRDefault="006E6A3D" w:rsidP="009F6253"/>
    <w:p w14:paraId="421A8561" w14:textId="0E917E2C" w:rsidR="000311D9" w:rsidRDefault="000311D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14:paraId="7EA217E7" w14:textId="553347A4" w:rsidR="0087242C" w:rsidRDefault="000311D9" w:rsidP="000311D9">
      <w:pPr>
        <w:pStyle w:val="Overskrift2"/>
      </w:pPr>
      <w:bookmarkStart w:id="26" w:name="_Toc70320844"/>
      <w:r>
        <w:lastRenderedPageBreak/>
        <w:t xml:space="preserve">Bilag 2. Fordelingsnøgle </w:t>
      </w:r>
      <w:r w:rsidR="002D6B62">
        <w:t>mellem forvaltningsområder</w:t>
      </w:r>
      <w:bookmarkEnd w:id="26"/>
    </w:p>
    <w:p w14:paraId="3C6B4AFC" w14:textId="2CCB3B32" w:rsidR="005B5E72" w:rsidRDefault="00154369" w:rsidP="00A2779A">
      <w:pPr>
        <w:jc w:val="both"/>
      </w:pPr>
      <w:proofErr w:type="spellStart"/>
      <w:r>
        <w:t>TAC’en</w:t>
      </w:r>
      <w:proofErr w:type="spellEnd"/>
      <w:r>
        <w:t xml:space="preserve"> for laks i Grønland fastsættes af </w:t>
      </w:r>
      <w:proofErr w:type="spellStart"/>
      <w:r>
        <w:t>Naalakkersuisut</w:t>
      </w:r>
      <w:proofErr w:type="spellEnd"/>
      <w:r>
        <w:t xml:space="preserve">. </w:t>
      </w:r>
      <w:r w:rsidR="00CE44EC">
        <w:t>D</w:t>
      </w:r>
      <w:r w:rsidR="00254AC4">
        <w:t xml:space="preserve">er fastsættes en fast kvote til forvaltningsområde Østgrønland baseret på </w:t>
      </w:r>
      <w:r w:rsidR="002A1E12">
        <w:t>fangsterne i de sidste 10 år som samtidigt sikre at udviklingen fra fangere til fiskere i Østgrønland kan understøttes. Kvoten i Østgrønland</w:t>
      </w:r>
      <w:r w:rsidR="00254AC4">
        <w:t xml:space="preserve"> </w:t>
      </w:r>
      <w:r w:rsidR="00C82574">
        <w:t>fordeles</w:t>
      </w:r>
      <w:r>
        <w:t xml:space="preserve"> dermed</w:t>
      </w:r>
      <w:r w:rsidR="00C82574">
        <w:t xml:space="preserve"> først, hvorefter resten af kvoten fordeles mellem forvaltningsområderne i </w:t>
      </w:r>
      <w:r w:rsidR="00254AC4">
        <w:t>Vestgrønland</w:t>
      </w:r>
      <w:r w:rsidR="00C82574">
        <w:t>.</w:t>
      </w:r>
      <w:r w:rsidR="00254AC4">
        <w:t xml:space="preserve"> </w:t>
      </w:r>
    </w:p>
    <w:p w14:paraId="6514E2E8" w14:textId="1EE7FA9B" w:rsidR="0094590E" w:rsidRPr="0093435B" w:rsidRDefault="0094590E" w:rsidP="0094590E">
      <w:pPr>
        <w:rPr>
          <w:b/>
        </w:rPr>
      </w:pPr>
      <w:r w:rsidRPr="0093435B">
        <w:rPr>
          <w:b/>
        </w:rPr>
        <w:t>Tabel</w:t>
      </w:r>
      <w:r w:rsidR="008B1787">
        <w:rPr>
          <w:b/>
        </w:rPr>
        <w:t xml:space="preserve"> </w:t>
      </w:r>
      <w:r w:rsidR="00A2779A">
        <w:rPr>
          <w:b/>
        </w:rPr>
        <w:t>1</w:t>
      </w:r>
      <w:r w:rsidRPr="0093435B">
        <w:rPr>
          <w:b/>
        </w:rPr>
        <w:t xml:space="preserve">: Fangst per NAFO 1 </w:t>
      </w:r>
      <w:r w:rsidR="00BF3D56">
        <w:rPr>
          <w:b/>
        </w:rPr>
        <w:t>under</w:t>
      </w:r>
      <w:r w:rsidRPr="0093435B">
        <w:rPr>
          <w:b/>
        </w:rPr>
        <w:t>område og Østgrønland (ICES)</w:t>
      </w:r>
      <w:r>
        <w:rPr>
          <w:b/>
        </w:rPr>
        <w:t xml:space="preserve"> 2010 – 2019 (tons)</w:t>
      </w:r>
    </w:p>
    <w:tbl>
      <w:tblPr>
        <w:tblW w:w="836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603"/>
        <w:gridCol w:w="603"/>
        <w:gridCol w:w="602"/>
        <w:gridCol w:w="602"/>
        <w:gridCol w:w="602"/>
        <w:gridCol w:w="602"/>
        <w:gridCol w:w="602"/>
        <w:gridCol w:w="944"/>
        <w:gridCol w:w="915"/>
        <w:gridCol w:w="228"/>
        <w:gridCol w:w="1052"/>
        <w:gridCol w:w="190"/>
      </w:tblGrid>
      <w:tr w:rsidR="0094590E" w:rsidRPr="00117777" w14:paraId="183FBA72" w14:textId="77777777" w:rsidTr="003E5812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D51D018" w14:textId="77777777" w:rsidR="0094590E" w:rsidRPr="00117777" w:rsidRDefault="0094590E" w:rsidP="003E5812">
            <w:pPr>
              <w:spacing w:line="240" w:lineRule="auto"/>
              <w:jc w:val="center"/>
              <w:rPr>
                <w:sz w:val="20"/>
                <w:szCs w:val="20"/>
                <w:lang w:val="en-US" w:eastAsia="da-DK"/>
              </w:rPr>
            </w:pPr>
            <w:r>
              <w:rPr>
                <w:b/>
                <w:sz w:val="20"/>
                <w:szCs w:val="20"/>
                <w:lang w:val="en-US" w:eastAsia="da-DK"/>
              </w:rPr>
              <w:t>ÅR</w:t>
            </w:r>
          </w:p>
        </w:tc>
        <w:tc>
          <w:tcPr>
            <w:tcW w:w="36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76A9258C" w14:textId="77777777" w:rsidR="0094590E" w:rsidRPr="00591CFF" w:rsidRDefault="0094590E" w:rsidP="003E5812">
            <w:pPr>
              <w:spacing w:line="240" w:lineRule="auto"/>
              <w:jc w:val="center"/>
              <w:rPr>
                <w:sz w:val="20"/>
                <w:szCs w:val="20"/>
                <w:lang w:eastAsia="da-DK"/>
              </w:rPr>
            </w:pPr>
            <w:r w:rsidRPr="00591CFF">
              <w:rPr>
                <w:b/>
                <w:bCs/>
                <w:lang w:eastAsia="da-DK"/>
              </w:rPr>
              <w:t xml:space="preserve">Fangst per </w:t>
            </w:r>
            <w:proofErr w:type="gramStart"/>
            <w:r w:rsidRPr="00591CFF">
              <w:rPr>
                <w:b/>
                <w:bCs/>
                <w:lang w:eastAsia="da-DK"/>
              </w:rPr>
              <w:t>NAFO område</w:t>
            </w:r>
            <w:proofErr w:type="gramEnd"/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2125D60" w14:textId="77777777" w:rsidR="0094590E" w:rsidRPr="00591CFF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eastAsia="da-DK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25950CE9" w14:textId="77777777" w:rsidR="0094590E" w:rsidRPr="00591CFF" w:rsidRDefault="0094590E" w:rsidP="003E5812">
            <w:pPr>
              <w:spacing w:line="240" w:lineRule="auto"/>
              <w:jc w:val="right"/>
              <w:rPr>
                <w:b/>
                <w:sz w:val="20"/>
                <w:szCs w:val="20"/>
                <w:lang w:eastAsia="da-DK"/>
              </w:rPr>
            </w:pPr>
            <w:r w:rsidRPr="00591CFF">
              <w:rPr>
                <w:b/>
                <w:sz w:val="20"/>
                <w:szCs w:val="20"/>
                <w:lang w:eastAsia="da-DK"/>
              </w:rPr>
              <w:t>NAFO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21D02BC" w14:textId="77777777" w:rsidR="0094590E" w:rsidRPr="00591CFF" w:rsidRDefault="0094590E" w:rsidP="003E5812">
            <w:pPr>
              <w:spacing w:line="240" w:lineRule="auto"/>
              <w:jc w:val="right"/>
              <w:rPr>
                <w:b/>
                <w:sz w:val="20"/>
                <w:szCs w:val="20"/>
                <w:lang w:eastAsia="da-DK"/>
              </w:rPr>
            </w:pPr>
            <w:r w:rsidRPr="00591CFF">
              <w:rPr>
                <w:b/>
                <w:sz w:val="20"/>
                <w:szCs w:val="20"/>
                <w:lang w:eastAsia="da-DK"/>
              </w:rPr>
              <w:t>ICES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0DFEDA11" w14:textId="77777777" w:rsidR="0094590E" w:rsidRPr="00591CFF" w:rsidRDefault="0094590E" w:rsidP="003E5812">
            <w:pPr>
              <w:spacing w:line="240" w:lineRule="auto"/>
              <w:jc w:val="right"/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050063A5" w14:textId="77777777" w:rsidR="0094590E" w:rsidRPr="00591CFF" w:rsidRDefault="0094590E" w:rsidP="003E5812">
            <w:pPr>
              <w:spacing w:line="240" w:lineRule="auto"/>
              <w:jc w:val="right"/>
              <w:rPr>
                <w:b/>
                <w:sz w:val="20"/>
                <w:szCs w:val="20"/>
                <w:lang w:eastAsia="da-DK"/>
              </w:rPr>
            </w:pPr>
            <w:r w:rsidRPr="00591CFF">
              <w:rPr>
                <w:b/>
                <w:sz w:val="20"/>
                <w:szCs w:val="20"/>
                <w:lang w:eastAsia="da-DK"/>
              </w:rPr>
              <w:t>Grønland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5D85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</w:p>
        </w:tc>
      </w:tr>
      <w:tr w:rsidR="0094590E" w:rsidRPr="00117777" w14:paraId="50C52F6A" w14:textId="77777777" w:rsidTr="003E5812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FE05618" w14:textId="77777777" w:rsidR="0094590E" w:rsidRPr="00117777" w:rsidRDefault="0094590E" w:rsidP="003E5812">
            <w:pPr>
              <w:spacing w:line="240" w:lineRule="auto"/>
              <w:rPr>
                <w:b/>
                <w:sz w:val="20"/>
                <w:szCs w:val="20"/>
                <w:lang w:val="en-US" w:eastAsia="da-DK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3C53B6C7" w14:textId="77777777" w:rsidR="0094590E" w:rsidRPr="00117777" w:rsidRDefault="0094590E" w:rsidP="003E5812">
            <w:pPr>
              <w:spacing w:line="240" w:lineRule="auto"/>
              <w:jc w:val="right"/>
              <w:rPr>
                <w:b/>
                <w:sz w:val="20"/>
                <w:szCs w:val="20"/>
                <w:lang w:val="en-US" w:eastAsia="da-DK"/>
              </w:rPr>
            </w:pPr>
            <w:r w:rsidRPr="00117777">
              <w:rPr>
                <w:b/>
                <w:sz w:val="20"/>
                <w:szCs w:val="20"/>
                <w:lang w:val="en-US" w:eastAsia="da-DK"/>
              </w:rPr>
              <w:t>1A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7297C4E2" w14:textId="77777777" w:rsidR="0094590E" w:rsidRPr="00117777" w:rsidRDefault="0094590E" w:rsidP="003E5812">
            <w:pPr>
              <w:spacing w:line="240" w:lineRule="auto"/>
              <w:jc w:val="right"/>
              <w:rPr>
                <w:b/>
                <w:sz w:val="20"/>
                <w:szCs w:val="20"/>
                <w:lang w:val="en-US" w:eastAsia="da-DK"/>
              </w:rPr>
            </w:pPr>
            <w:r w:rsidRPr="00117777">
              <w:rPr>
                <w:b/>
                <w:sz w:val="20"/>
                <w:szCs w:val="20"/>
                <w:lang w:val="en-US" w:eastAsia="da-DK"/>
              </w:rPr>
              <w:t>1B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43691514" w14:textId="77777777" w:rsidR="0094590E" w:rsidRPr="00117777" w:rsidRDefault="0094590E" w:rsidP="003E5812">
            <w:pPr>
              <w:spacing w:line="240" w:lineRule="auto"/>
              <w:jc w:val="right"/>
              <w:rPr>
                <w:b/>
                <w:sz w:val="20"/>
                <w:szCs w:val="20"/>
                <w:lang w:val="en-US" w:eastAsia="da-DK"/>
              </w:rPr>
            </w:pPr>
            <w:r w:rsidRPr="00117777">
              <w:rPr>
                <w:b/>
                <w:sz w:val="20"/>
                <w:szCs w:val="20"/>
                <w:lang w:val="en-US" w:eastAsia="da-DK"/>
              </w:rPr>
              <w:t>1C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315A6739" w14:textId="77777777" w:rsidR="0094590E" w:rsidRPr="00117777" w:rsidRDefault="0094590E" w:rsidP="003E5812">
            <w:pPr>
              <w:spacing w:line="240" w:lineRule="auto"/>
              <w:jc w:val="right"/>
              <w:rPr>
                <w:b/>
                <w:sz w:val="20"/>
                <w:szCs w:val="20"/>
                <w:lang w:val="en-US" w:eastAsia="da-DK"/>
              </w:rPr>
            </w:pPr>
            <w:r w:rsidRPr="00117777">
              <w:rPr>
                <w:b/>
                <w:sz w:val="20"/>
                <w:szCs w:val="20"/>
                <w:lang w:val="en-US" w:eastAsia="da-DK"/>
              </w:rPr>
              <w:t>1D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7436D011" w14:textId="77777777" w:rsidR="0094590E" w:rsidRPr="00117777" w:rsidRDefault="0094590E" w:rsidP="003E5812">
            <w:pPr>
              <w:spacing w:line="240" w:lineRule="auto"/>
              <w:jc w:val="right"/>
              <w:rPr>
                <w:b/>
                <w:sz w:val="20"/>
                <w:szCs w:val="20"/>
                <w:lang w:val="en-US" w:eastAsia="da-DK"/>
              </w:rPr>
            </w:pPr>
            <w:r w:rsidRPr="00117777">
              <w:rPr>
                <w:b/>
                <w:sz w:val="20"/>
                <w:szCs w:val="20"/>
                <w:lang w:val="en-US" w:eastAsia="da-DK"/>
              </w:rPr>
              <w:t>1E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75D91E9F" w14:textId="77777777" w:rsidR="0094590E" w:rsidRPr="00117777" w:rsidRDefault="0094590E" w:rsidP="003E5812">
            <w:pPr>
              <w:spacing w:line="240" w:lineRule="auto"/>
              <w:jc w:val="right"/>
              <w:rPr>
                <w:b/>
                <w:sz w:val="20"/>
                <w:szCs w:val="20"/>
                <w:lang w:val="en-US" w:eastAsia="da-DK"/>
              </w:rPr>
            </w:pPr>
            <w:r w:rsidRPr="00117777">
              <w:rPr>
                <w:b/>
                <w:sz w:val="20"/>
                <w:szCs w:val="20"/>
                <w:lang w:val="en-US" w:eastAsia="da-DK"/>
              </w:rPr>
              <w:t>1F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578C31B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NK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24E1BAB4" w14:textId="77777777" w:rsidR="0094590E" w:rsidRPr="00117777" w:rsidRDefault="0094590E" w:rsidP="003E5812">
            <w:pPr>
              <w:spacing w:line="240" w:lineRule="auto"/>
              <w:jc w:val="right"/>
              <w:rPr>
                <w:b/>
                <w:sz w:val="20"/>
                <w:szCs w:val="20"/>
                <w:lang w:val="en-US" w:eastAsia="da-DK"/>
              </w:rPr>
            </w:pPr>
            <w:r>
              <w:rPr>
                <w:b/>
                <w:sz w:val="20"/>
                <w:szCs w:val="20"/>
                <w:lang w:val="en-US" w:eastAsia="da-DK"/>
              </w:rPr>
              <w:t>Area 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2C44158" w14:textId="77777777" w:rsidR="0094590E" w:rsidRPr="00117777" w:rsidRDefault="0094590E" w:rsidP="003E5812">
            <w:pPr>
              <w:spacing w:line="240" w:lineRule="auto"/>
              <w:jc w:val="right"/>
              <w:rPr>
                <w:b/>
                <w:sz w:val="20"/>
                <w:szCs w:val="20"/>
                <w:lang w:val="en-US" w:eastAsia="da-DK"/>
              </w:rPr>
            </w:pPr>
            <w:r>
              <w:rPr>
                <w:b/>
                <w:sz w:val="20"/>
                <w:szCs w:val="20"/>
                <w:lang w:val="en-US" w:eastAsia="da-DK"/>
              </w:rPr>
              <w:t>XIV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3E0B780E" w14:textId="77777777" w:rsidR="0094590E" w:rsidRPr="00117777" w:rsidRDefault="0094590E" w:rsidP="003E5812">
            <w:pPr>
              <w:spacing w:line="240" w:lineRule="auto"/>
              <w:jc w:val="right"/>
              <w:rPr>
                <w:b/>
                <w:sz w:val="20"/>
                <w:szCs w:val="20"/>
                <w:lang w:val="en-US" w:eastAsia="da-DK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59097592" w14:textId="77777777" w:rsidR="0094590E" w:rsidRPr="00117777" w:rsidRDefault="0094590E" w:rsidP="003E5812">
            <w:pPr>
              <w:spacing w:line="240" w:lineRule="auto"/>
              <w:jc w:val="right"/>
              <w:rPr>
                <w:b/>
                <w:sz w:val="20"/>
                <w:szCs w:val="20"/>
                <w:lang w:val="en-US" w:eastAsia="da-DK"/>
              </w:rPr>
            </w:pPr>
            <w:r w:rsidRPr="00117777">
              <w:rPr>
                <w:b/>
                <w:sz w:val="20"/>
                <w:szCs w:val="20"/>
                <w:lang w:val="en-US" w:eastAsia="da-DK"/>
              </w:rPr>
              <w:t>Total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053A1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</w:p>
        </w:tc>
      </w:tr>
      <w:tr w:rsidR="0094590E" w:rsidRPr="00117777" w14:paraId="52676F17" w14:textId="77777777" w:rsidTr="003E5812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CCE0" w14:textId="77777777" w:rsidR="0094590E" w:rsidRPr="00D40761" w:rsidRDefault="0094590E" w:rsidP="003E5812">
            <w:pPr>
              <w:spacing w:line="240" w:lineRule="auto"/>
              <w:rPr>
                <w:b/>
                <w:sz w:val="20"/>
                <w:szCs w:val="20"/>
                <w:lang w:val="en-US" w:eastAsia="da-DK"/>
              </w:rPr>
            </w:pPr>
            <w:r w:rsidRPr="00D40761">
              <w:rPr>
                <w:b/>
                <w:sz w:val="20"/>
                <w:szCs w:val="20"/>
                <w:lang w:val="en-US" w:eastAsia="da-DK"/>
              </w:rPr>
              <w:t>2010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7F46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17.3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685C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4.6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79A5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2.4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A22F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2.7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A6A3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6.8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9296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4.3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3007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447A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37.9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BE2F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1.7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DDF3" w14:textId="77777777" w:rsidR="0094590E" w:rsidRPr="00117777" w:rsidRDefault="0094590E" w:rsidP="003E5812">
            <w:pPr>
              <w:spacing w:line="240" w:lineRule="auto"/>
              <w:rPr>
                <w:b/>
                <w:bCs/>
                <w:sz w:val="20"/>
                <w:szCs w:val="20"/>
                <w:lang w:val="en-US" w:eastAsia="da-DK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9B0D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40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3184" w14:textId="77777777" w:rsidR="0094590E" w:rsidRPr="00117777" w:rsidRDefault="0094590E" w:rsidP="003E5812">
            <w:pPr>
              <w:spacing w:line="240" w:lineRule="auto"/>
              <w:rPr>
                <w:sz w:val="20"/>
                <w:szCs w:val="20"/>
                <w:lang w:val="en-US" w:eastAsia="da-DK"/>
              </w:rPr>
            </w:pPr>
          </w:p>
        </w:tc>
      </w:tr>
      <w:tr w:rsidR="0094590E" w:rsidRPr="00117777" w14:paraId="535CA14F" w14:textId="77777777" w:rsidTr="003E5812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B2E6" w14:textId="77777777" w:rsidR="0094590E" w:rsidRPr="00D40761" w:rsidRDefault="0094590E" w:rsidP="003E5812">
            <w:pPr>
              <w:spacing w:line="240" w:lineRule="auto"/>
              <w:rPr>
                <w:b/>
                <w:sz w:val="20"/>
                <w:szCs w:val="20"/>
                <w:lang w:val="en-US" w:eastAsia="da-DK"/>
              </w:rPr>
            </w:pPr>
            <w:r w:rsidRPr="00D40761">
              <w:rPr>
                <w:b/>
                <w:sz w:val="20"/>
                <w:szCs w:val="20"/>
                <w:lang w:val="en-US" w:eastAsia="da-DK"/>
              </w:rPr>
              <w:t>2011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10D3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1.8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3E61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3.7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CCE7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5.3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A691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8.0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CAB1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4.0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9CC1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4.6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514A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3EB3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27.4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496B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0.1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84EF" w14:textId="77777777" w:rsidR="0094590E" w:rsidRPr="00117777" w:rsidRDefault="0094590E" w:rsidP="003E5812">
            <w:pPr>
              <w:spacing w:line="240" w:lineRule="auto"/>
              <w:rPr>
                <w:b/>
                <w:bCs/>
                <w:sz w:val="20"/>
                <w:szCs w:val="20"/>
                <w:lang w:val="en-US" w:eastAsia="da-DK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9059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 w:rsidRPr="00117777">
              <w:rPr>
                <w:sz w:val="20"/>
                <w:szCs w:val="20"/>
                <w:lang w:val="en-US" w:eastAsia="da-DK"/>
              </w:rPr>
              <w:t>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AA21" w14:textId="77777777" w:rsidR="0094590E" w:rsidRPr="00117777" w:rsidRDefault="0094590E" w:rsidP="003E5812">
            <w:pPr>
              <w:spacing w:line="240" w:lineRule="auto"/>
              <w:rPr>
                <w:sz w:val="20"/>
                <w:szCs w:val="20"/>
                <w:lang w:val="en-US" w:eastAsia="da-DK"/>
              </w:rPr>
            </w:pPr>
          </w:p>
        </w:tc>
      </w:tr>
      <w:tr w:rsidR="0094590E" w:rsidRPr="00117777" w14:paraId="3AA0F37A" w14:textId="77777777" w:rsidTr="003E5812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2E24" w14:textId="77777777" w:rsidR="0094590E" w:rsidRPr="00D40761" w:rsidRDefault="0094590E" w:rsidP="003E5812">
            <w:pPr>
              <w:spacing w:line="240" w:lineRule="auto"/>
              <w:rPr>
                <w:b/>
                <w:sz w:val="20"/>
                <w:szCs w:val="20"/>
                <w:lang w:val="en-US" w:eastAsia="da-DK"/>
              </w:rPr>
            </w:pPr>
            <w:r w:rsidRPr="00D40761">
              <w:rPr>
                <w:b/>
                <w:sz w:val="20"/>
                <w:szCs w:val="20"/>
                <w:lang w:val="en-US" w:eastAsia="da-DK"/>
              </w:rPr>
              <w:t>2012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D7C6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5.4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7F59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0.8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70EB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15.0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BD50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4.6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8D03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4.0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9BF5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3.0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E72F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E678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32.6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4EC2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0.5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0EB1" w14:textId="77777777" w:rsidR="0094590E" w:rsidRPr="00117777" w:rsidRDefault="0094590E" w:rsidP="003E5812">
            <w:pPr>
              <w:spacing w:line="240" w:lineRule="auto"/>
              <w:rPr>
                <w:b/>
                <w:bCs/>
                <w:sz w:val="20"/>
                <w:szCs w:val="20"/>
                <w:lang w:val="en-US" w:eastAsia="da-DK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6834" w14:textId="77777777" w:rsidR="0094590E" w:rsidRPr="00117777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6CCF" w14:textId="77777777" w:rsidR="0094590E" w:rsidRPr="00117777" w:rsidRDefault="0094590E" w:rsidP="003E5812">
            <w:pPr>
              <w:spacing w:line="240" w:lineRule="auto"/>
              <w:rPr>
                <w:sz w:val="20"/>
                <w:szCs w:val="20"/>
                <w:lang w:val="en-US" w:eastAsia="da-DK"/>
              </w:rPr>
            </w:pPr>
          </w:p>
        </w:tc>
      </w:tr>
      <w:tr w:rsidR="0094590E" w:rsidRPr="00117777" w14:paraId="4BF6BA27" w14:textId="77777777" w:rsidTr="003E5812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6497" w14:textId="77777777" w:rsidR="0094590E" w:rsidRPr="00D40761" w:rsidRDefault="0094590E" w:rsidP="003E5812">
            <w:pPr>
              <w:spacing w:line="240" w:lineRule="auto"/>
              <w:rPr>
                <w:b/>
                <w:sz w:val="20"/>
                <w:szCs w:val="20"/>
                <w:lang w:val="en-US" w:eastAsia="da-DK"/>
              </w:rPr>
            </w:pPr>
            <w:r w:rsidRPr="00D40761">
              <w:rPr>
                <w:b/>
                <w:sz w:val="20"/>
                <w:szCs w:val="20"/>
                <w:lang w:val="en-US" w:eastAsia="da-DK"/>
              </w:rPr>
              <w:t>2013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C375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3.1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27BC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2.4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3507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17.9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56AA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13.4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7AD1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6.4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9392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3.8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1463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1DB1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47.0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CF5E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0.0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083D" w14:textId="77777777" w:rsidR="0094590E" w:rsidRPr="00117777" w:rsidRDefault="0094590E" w:rsidP="003E5812">
            <w:pPr>
              <w:spacing w:line="240" w:lineRule="auto"/>
              <w:rPr>
                <w:b/>
                <w:bCs/>
                <w:sz w:val="20"/>
                <w:szCs w:val="20"/>
                <w:lang w:val="en-US" w:eastAsia="da-DK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E3C1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47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238D" w14:textId="77777777" w:rsidR="0094590E" w:rsidRPr="00117777" w:rsidRDefault="0094590E" w:rsidP="003E5812">
            <w:pPr>
              <w:spacing w:line="240" w:lineRule="auto"/>
              <w:rPr>
                <w:sz w:val="20"/>
                <w:szCs w:val="20"/>
                <w:lang w:val="en-US" w:eastAsia="da-DK"/>
              </w:rPr>
            </w:pPr>
          </w:p>
        </w:tc>
      </w:tr>
      <w:tr w:rsidR="0094590E" w:rsidRPr="00117777" w14:paraId="153503C4" w14:textId="77777777" w:rsidTr="003E5812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384" w14:textId="77777777" w:rsidR="0094590E" w:rsidRPr="00D40761" w:rsidRDefault="0094590E" w:rsidP="003E5812">
            <w:pPr>
              <w:spacing w:line="240" w:lineRule="auto"/>
              <w:rPr>
                <w:b/>
                <w:sz w:val="20"/>
                <w:szCs w:val="20"/>
                <w:lang w:val="en-US" w:eastAsia="da-DK"/>
              </w:rPr>
            </w:pPr>
            <w:r w:rsidRPr="00D40761">
              <w:rPr>
                <w:b/>
                <w:sz w:val="20"/>
                <w:szCs w:val="20"/>
                <w:lang w:val="en-US" w:eastAsia="da-DK"/>
              </w:rPr>
              <w:t>2014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D7A1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3.6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0BCF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2.8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F99C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13.8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C7C9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19.1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5C70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15.0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F63F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3.4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CC9D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9B4C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57.8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7A9E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0.1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C83C" w14:textId="77777777" w:rsidR="0094590E" w:rsidRPr="00117777" w:rsidRDefault="0094590E" w:rsidP="003E5812">
            <w:pPr>
              <w:spacing w:line="240" w:lineRule="auto"/>
              <w:rPr>
                <w:b/>
                <w:bCs/>
                <w:sz w:val="20"/>
                <w:szCs w:val="20"/>
                <w:lang w:val="en-US" w:eastAsia="da-DK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4831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58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4197" w14:textId="77777777" w:rsidR="0094590E" w:rsidRPr="00117777" w:rsidRDefault="0094590E" w:rsidP="003E5812">
            <w:pPr>
              <w:spacing w:line="240" w:lineRule="auto"/>
              <w:rPr>
                <w:sz w:val="20"/>
                <w:szCs w:val="20"/>
                <w:lang w:val="en-US" w:eastAsia="da-DK"/>
              </w:rPr>
            </w:pPr>
          </w:p>
        </w:tc>
      </w:tr>
      <w:tr w:rsidR="0094590E" w:rsidRPr="00117777" w14:paraId="281ED062" w14:textId="77777777" w:rsidTr="003E5812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3BBD" w14:textId="77777777" w:rsidR="0094590E" w:rsidRPr="00D40761" w:rsidRDefault="0094590E" w:rsidP="003E5812">
            <w:pPr>
              <w:spacing w:line="240" w:lineRule="auto"/>
              <w:rPr>
                <w:b/>
                <w:sz w:val="20"/>
                <w:szCs w:val="20"/>
                <w:lang w:val="en-US" w:eastAsia="da-DK"/>
              </w:rPr>
            </w:pPr>
            <w:r w:rsidRPr="00D40761">
              <w:rPr>
                <w:b/>
                <w:sz w:val="20"/>
                <w:szCs w:val="20"/>
                <w:lang w:val="en-US" w:eastAsia="da-DK"/>
              </w:rPr>
              <w:t>2015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68AB7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0.8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46C24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8.8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57CDD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10.0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417AF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18.0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4F8B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4.2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15F76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14.1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81527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2022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55.9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7D37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1.0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957B0" w14:textId="77777777" w:rsidR="0094590E" w:rsidRPr="00117777" w:rsidRDefault="0094590E" w:rsidP="003E5812">
            <w:pPr>
              <w:spacing w:line="240" w:lineRule="auto"/>
              <w:rPr>
                <w:b/>
                <w:bCs/>
                <w:sz w:val="20"/>
                <w:szCs w:val="20"/>
                <w:lang w:val="en-US" w:eastAsia="da-DK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5B0F5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57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2A5C8" w14:textId="77777777" w:rsidR="0094590E" w:rsidRPr="00117777" w:rsidRDefault="0094590E" w:rsidP="003E5812">
            <w:pPr>
              <w:spacing w:line="240" w:lineRule="auto"/>
              <w:rPr>
                <w:sz w:val="20"/>
                <w:szCs w:val="20"/>
                <w:lang w:val="en-US" w:eastAsia="da-DK"/>
              </w:rPr>
            </w:pPr>
          </w:p>
        </w:tc>
      </w:tr>
      <w:tr w:rsidR="0094590E" w:rsidRPr="00117777" w14:paraId="37A82A0B" w14:textId="77777777" w:rsidTr="003E5812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D1A91" w14:textId="77777777" w:rsidR="0094590E" w:rsidRPr="00D40761" w:rsidRDefault="0094590E" w:rsidP="003E5812">
            <w:pPr>
              <w:spacing w:line="240" w:lineRule="auto"/>
              <w:rPr>
                <w:b/>
                <w:sz w:val="20"/>
                <w:szCs w:val="20"/>
                <w:lang w:val="en-US" w:eastAsia="da-DK"/>
              </w:rPr>
            </w:pPr>
            <w:r w:rsidRPr="00D40761">
              <w:rPr>
                <w:b/>
                <w:sz w:val="20"/>
                <w:szCs w:val="20"/>
                <w:lang w:val="en-US" w:eastAsia="da-DK"/>
              </w:rPr>
              <w:t>2016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F3C8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0.8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527F4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1.2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AB5D9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7.3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F298F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4.6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A4A17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4.5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9007E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7.3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94B9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A6AD3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25.7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16E5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1.5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7F495" w14:textId="77777777" w:rsidR="0094590E" w:rsidRPr="00117777" w:rsidRDefault="0094590E" w:rsidP="003E5812">
            <w:pPr>
              <w:spacing w:line="240" w:lineRule="auto"/>
              <w:rPr>
                <w:b/>
                <w:bCs/>
                <w:sz w:val="20"/>
                <w:szCs w:val="20"/>
                <w:lang w:val="en-US" w:eastAsia="da-DK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EC41B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27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62F0F" w14:textId="77777777" w:rsidR="0094590E" w:rsidRPr="00117777" w:rsidRDefault="0094590E" w:rsidP="003E5812">
            <w:pPr>
              <w:spacing w:line="240" w:lineRule="auto"/>
              <w:rPr>
                <w:sz w:val="20"/>
                <w:szCs w:val="20"/>
                <w:lang w:val="en-US" w:eastAsia="da-DK"/>
              </w:rPr>
            </w:pPr>
          </w:p>
        </w:tc>
      </w:tr>
      <w:tr w:rsidR="0094590E" w:rsidRPr="00117777" w14:paraId="644F3392" w14:textId="77777777" w:rsidTr="003E5812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1A86F" w14:textId="77777777" w:rsidR="0094590E" w:rsidRPr="00D40761" w:rsidRDefault="0094590E" w:rsidP="003E5812">
            <w:pPr>
              <w:spacing w:line="240" w:lineRule="auto"/>
              <w:rPr>
                <w:b/>
                <w:sz w:val="20"/>
                <w:szCs w:val="20"/>
                <w:lang w:val="en-US" w:eastAsia="da-DK"/>
              </w:rPr>
            </w:pPr>
            <w:r w:rsidRPr="00D40761">
              <w:rPr>
                <w:b/>
                <w:sz w:val="20"/>
                <w:szCs w:val="20"/>
                <w:lang w:val="en-US" w:eastAsia="da-DK"/>
              </w:rPr>
              <w:t>2017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78C41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1.1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C82F6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1.7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9000C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9.3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37652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6.9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EF6D7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3.2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061C9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5.6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42107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3EE8D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27.8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34500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0.3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B1087" w14:textId="77777777" w:rsidR="0094590E" w:rsidRPr="00117777" w:rsidRDefault="0094590E" w:rsidP="003E5812">
            <w:pPr>
              <w:spacing w:line="240" w:lineRule="auto"/>
              <w:rPr>
                <w:b/>
                <w:bCs/>
                <w:sz w:val="20"/>
                <w:szCs w:val="20"/>
                <w:lang w:val="en-US" w:eastAsia="da-DK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5EAE0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796E" w14:textId="77777777" w:rsidR="0094590E" w:rsidRPr="00117777" w:rsidRDefault="0094590E" w:rsidP="003E5812">
            <w:pPr>
              <w:spacing w:line="240" w:lineRule="auto"/>
              <w:rPr>
                <w:sz w:val="20"/>
                <w:szCs w:val="20"/>
                <w:lang w:val="en-US" w:eastAsia="da-DK"/>
              </w:rPr>
            </w:pPr>
          </w:p>
        </w:tc>
      </w:tr>
      <w:tr w:rsidR="0094590E" w:rsidRPr="00117777" w14:paraId="1B6575DA" w14:textId="77777777" w:rsidTr="003E5812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A543D" w14:textId="77777777" w:rsidR="0094590E" w:rsidRPr="00D40761" w:rsidRDefault="0094590E" w:rsidP="003E5812">
            <w:pPr>
              <w:spacing w:line="240" w:lineRule="auto"/>
              <w:rPr>
                <w:b/>
                <w:sz w:val="20"/>
                <w:szCs w:val="20"/>
                <w:lang w:val="en-US" w:eastAsia="da-DK"/>
              </w:rPr>
            </w:pPr>
            <w:r w:rsidRPr="00D40761">
              <w:rPr>
                <w:b/>
                <w:sz w:val="20"/>
                <w:szCs w:val="20"/>
                <w:lang w:val="en-US" w:eastAsia="da-DK"/>
              </w:rPr>
              <w:t>2018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E7DBA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2.4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A330C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5.7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50B1C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13.7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7EA0B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8.2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A7CAB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4.2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D6957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4.8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F171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156CA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39.0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5BF2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0.8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34794" w14:textId="77777777" w:rsidR="0094590E" w:rsidRPr="00117777" w:rsidRDefault="0094590E" w:rsidP="003E5812">
            <w:pPr>
              <w:spacing w:line="240" w:lineRule="auto"/>
              <w:rPr>
                <w:b/>
                <w:bCs/>
                <w:sz w:val="20"/>
                <w:szCs w:val="20"/>
                <w:lang w:val="en-US" w:eastAsia="da-DK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DCB8F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40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72223" w14:textId="77777777" w:rsidR="0094590E" w:rsidRPr="00117777" w:rsidRDefault="0094590E" w:rsidP="003E5812">
            <w:pPr>
              <w:spacing w:line="240" w:lineRule="auto"/>
              <w:rPr>
                <w:sz w:val="20"/>
                <w:szCs w:val="20"/>
                <w:lang w:val="en-US" w:eastAsia="da-DK"/>
              </w:rPr>
            </w:pPr>
          </w:p>
        </w:tc>
      </w:tr>
      <w:tr w:rsidR="0094590E" w:rsidRPr="00117777" w14:paraId="523F1A77" w14:textId="77777777" w:rsidTr="003E5812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6FD92" w14:textId="77777777" w:rsidR="0094590E" w:rsidRPr="00D40761" w:rsidRDefault="0094590E" w:rsidP="003E5812">
            <w:pPr>
              <w:spacing w:line="240" w:lineRule="auto"/>
              <w:rPr>
                <w:b/>
                <w:sz w:val="20"/>
                <w:szCs w:val="20"/>
                <w:lang w:val="en-US" w:eastAsia="da-DK"/>
              </w:rPr>
            </w:pPr>
            <w:r w:rsidRPr="00D40761">
              <w:rPr>
                <w:b/>
                <w:sz w:val="20"/>
                <w:szCs w:val="20"/>
                <w:lang w:val="en-US" w:eastAsia="da-DK"/>
              </w:rPr>
              <w:t>2019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A878D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0.8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F314C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3.0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2FADD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4.4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ECA5A" w14:textId="77777777" w:rsidR="0094590E" w:rsidRDefault="0094590E" w:rsidP="003E5812">
            <w:pPr>
              <w:spacing w:line="240" w:lineRule="auto"/>
              <w:jc w:val="center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 xml:space="preserve">    8.0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59EE9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4.8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E1DAC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7.3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51ED5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CB8ED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28.3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5D80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1.4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2C593" w14:textId="77777777" w:rsidR="0094590E" w:rsidRPr="00117777" w:rsidRDefault="0094590E" w:rsidP="003E5812">
            <w:pPr>
              <w:spacing w:line="240" w:lineRule="auto"/>
              <w:rPr>
                <w:b/>
                <w:bCs/>
                <w:sz w:val="20"/>
                <w:szCs w:val="20"/>
                <w:lang w:val="en-US" w:eastAsia="da-DK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27C95" w14:textId="77777777" w:rsidR="0094590E" w:rsidRDefault="0094590E" w:rsidP="003E5812">
            <w:pPr>
              <w:spacing w:line="240" w:lineRule="auto"/>
              <w:jc w:val="right"/>
              <w:rPr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 w:eastAsia="da-DK"/>
              </w:rPr>
              <w:t>30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2345A" w14:textId="77777777" w:rsidR="0094590E" w:rsidRPr="00117777" w:rsidRDefault="0094590E" w:rsidP="003E5812">
            <w:pPr>
              <w:spacing w:line="240" w:lineRule="auto"/>
              <w:rPr>
                <w:sz w:val="20"/>
                <w:szCs w:val="20"/>
                <w:lang w:val="en-US" w:eastAsia="da-DK"/>
              </w:rPr>
            </w:pPr>
          </w:p>
        </w:tc>
      </w:tr>
    </w:tbl>
    <w:p w14:paraId="196F7B02" w14:textId="57F8AC0C" w:rsidR="0094590E" w:rsidRDefault="0094590E" w:rsidP="001D7DB6">
      <w:pPr>
        <w:rPr>
          <w:b/>
        </w:rPr>
      </w:pPr>
    </w:p>
    <w:p w14:paraId="05E16F2E" w14:textId="0F3A8F1A" w:rsidR="00F90E1F" w:rsidRPr="00F90E1F" w:rsidRDefault="00F90E1F" w:rsidP="00F90E1F">
      <w:pPr>
        <w:jc w:val="both"/>
      </w:pPr>
      <w:r>
        <w:t>Der laves</w:t>
      </w:r>
      <w:r w:rsidR="00154369">
        <w:t xml:space="preserve"> yderligere</w:t>
      </w:r>
      <w:r>
        <w:t xml:space="preserve"> en fordelingsnøgle for de 2 forvaltningsområder i Vestgrønland base</w:t>
      </w:r>
      <w:r w:rsidR="00717D66">
        <w:t>ret på fangsterne</w:t>
      </w:r>
      <w:r>
        <w:t xml:space="preserve"> i områderne</w:t>
      </w:r>
      <w:r w:rsidR="007C5155">
        <w:t xml:space="preserve"> 2015</w:t>
      </w:r>
      <w:r w:rsidR="00F94ECF">
        <w:t>-20</w:t>
      </w:r>
      <w:r w:rsidR="00306352">
        <w:t>19</w:t>
      </w:r>
      <w:r>
        <w:t>.</w:t>
      </w:r>
      <w:r w:rsidR="00AB517D">
        <w:t xml:space="preserve"> Se nedenstående tabel 2og 3.</w:t>
      </w:r>
    </w:p>
    <w:p w14:paraId="08B38C0B" w14:textId="549096B6" w:rsidR="00A2779A" w:rsidRDefault="00A2779A" w:rsidP="00A2779A">
      <w:pPr>
        <w:rPr>
          <w:b/>
        </w:rPr>
      </w:pPr>
      <w:r>
        <w:rPr>
          <w:b/>
        </w:rPr>
        <w:t>Tabel 2</w:t>
      </w:r>
      <w:r w:rsidR="000D13B1">
        <w:rPr>
          <w:b/>
        </w:rPr>
        <w:t>: Fangster per forvaltningsområde</w:t>
      </w:r>
      <w:r w:rsidR="007C5155">
        <w:rPr>
          <w:b/>
        </w:rPr>
        <w:t xml:space="preserve"> 2015</w:t>
      </w:r>
      <w:r w:rsidR="000D13B1">
        <w:rPr>
          <w:b/>
        </w:rPr>
        <w:t xml:space="preserve"> –</w:t>
      </w:r>
      <w:r w:rsidR="00EB1476">
        <w:rPr>
          <w:b/>
        </w:rPr>
        <w:t xml:space="preserve"> 20</w:t>
      </w:r>
      <w:r w:rsidR="00306352">
        <w:rPr>
          <w:b/>
        </w:rPr>
        <w:t>19</w:t>
      </w:r>
      <w:r w:rsidR="000D13B1">
        <w:rPr>
          <w:b/>
        </w:rPr>
        <w:t xml:space="preserve"> (tons)</w:t>
      </w:r>
      <w:r w:rsidR="00A26003">
        <w:rPr>
          <w:b/>
        </w:rPr>
        <w:t>, samt fordeling mellem erhvervsfiskere og fritidsfiskere per forvaltningsområde 2018-2020.</w:t>
      </w:r>
    </w:p>
    <w:tbl>
      <w:tblPr>
        <w:tblStyle w:val="Tabel-Gitter"/>
        <w:tblW w:w="9081" w:type="dxa"/>
        <w:tblInd w:w="-426" w:type="dxa"/>
        <w:tblLook w:val="04A0" w:firstRow="1" w:lastRow="0" w:firstColumn="1" w:lastColumn="0" w:noHBand="0" w:noVBand="1"/>
      </w:tblPr>
      <w:tblGrid>
        <w:gridCol w:w="3086"/>
        <w:gridCol w:w="1199"/>
        <w:gridCol w:w="1199"/>
        <w:gridCol w:w="1199"/>
        <w:gridCol w:w="1199"/>
        <w:gridCol w:w="1199"/>
      </w:tblGrid>
      <w:tr w:rsidR="00306352" w14:paraId="6DB35D57" w14:textId="22C2B3DC" w:rsidTr="00306352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EE80D81" w14:textId="77777777" w:rsidR="00306352" w:rsidRDefault="00306352" w:rsidP="003E365F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Forvaltningsområde: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75AF7F6" w14:textId="77777777" w:rsidR="00306352" w:rsidRDefault="00306352" w:rsidP="003E365F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Fangst 2015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7E77A00" w14:textId="77777777" w:rsidR="00306352" w:rsidRDefault="00306352" w:rsidP="003E365F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Fangst 2016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6401F7A" w14:textId="77777777" w:rsidR="00306352" w:rsidRDefault="00306352" w:rsidP="003E365F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Fangst 2017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5045E1E" w14:textId="77777777" w:rsidR="00306352" w:rsidRDefault="00306352" w:rsidP="003E365F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Fangst 2018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39B73B9" w14:textId="77777777" w:rsidR="00306352" w:rsidRDefault="00306352" w:rsidP="003E365F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Fangst 2019</w:t>
            </w:r>
          </w:p>
        </w:tc>
      </w:tr>
      <w:tr w:rsidR="00306352" w:rsidRPr="00DF469A" w14:paraId="0A34ECB7" w14:textId="5D872643" w:rsidTr="00306352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510CA58" w14:textId="17FD3F89" w:rsidR="00306352" w:rsidRPr="00DF469A" w:rsidRDefault="00306352" w:rsidP="003E365F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proofErr w:type="spellStart"/>
            <w:r w:rsidRPr="00DF469A">
              <w:rPr>
                <w:b/>
                <w:lang w:val="en-US"/>
              </w:rPr>
              <w:t>Nordvest</w:t>
            </w:r>
            <w:proofErr w:type="spellEnd"/>
            <w:r w:rsidRPr="00DF469A">
              <w:rPr>
                <w:b/>
                <w:lang w:val="en-US"/>
              </w:rPr>
              <w:t xml:space="preserve"> (NAFO 1A + 1B + 1C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02F4FA3" w14:textId="6D5C7C5E" w:rsidR="00306352" w:rsidRPr="00DF469A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19,6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20EE67F" w14:textId="6C2446D8" w:rsidR="00306352" w:rsidRPr="00DF469A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9,2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0AD7E83" w14:textId="49AD7E73" w:rsidR="00306352" w:rsidRPr="00DF469A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12,1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ADB427A" w14:textId="3A62CDFA" w:rsidR="00306352" w:rsidRPr="00DF469A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21,9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89228D3" w14:textId="4BFCB903" w:rsidR="00306352" w:rsidRPr="00DF469A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8,3</w:t>
            </w:r>
          </w:p>
        </w:tc>
      </w:tr>
      <w:tr w:rsidR="00306352" w:rsidRPr="00DF469A" w14:paraId="2CC8D876" w14:textId="68FFB987" w:rsidTr="00306352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7B3" w14:textId="1F66E5BD" w:rsidR="00306352" w:rsidRPr="0017071A" w:rsidRDefault="00306352" w:rsidP="003E365F">
            <w:pPr>
              <w:jc w:val="both"/>
              <w:rPr>
                <w:bCs/>
                <w:i/>
                <w:iCs/>
                <w:lang w:val="en-US"/>
              </w:rPr>
            </w:pPr>
            <w:proofErr w:type="spellStart"/>
            <w:r w:rsidRPr="0017071A">
              <w:rPr>
                <w:bCs/>
                <w:i/>
                <w:iCs/>
                <w:lang w:val="en-US"/>
              </w:rPr>
              <w:t>Erhvervsfiskere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A2A7" w14:textId="77777777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DEB2" w14:textId="77777777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4096" w14:textId="77777777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7FE0" w14:textId="7812CBF2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19,9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95DB" w14:textId="779E7C66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7,5</w:t>
            </w:r>
          </w:p>
        </w:tc>
      </w:tr>
      <w:tr w:rsidR="00306352" w:rsidRPr="00DF469A" w14:paraId="201E3917" w14:textId="243A413F" w:rsidTr="00306352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41A" w14:textId="43E90E73" w:rsidR="00306352" w:rsidRPr="0017071A" w:rsidRDefault="00306352" w:rsidP="003E365F">
            <w:pPr>
              <w:jc w:val="both"/>
              <w:rPr>
                <w:bCs/>
                <w:i/>
                <w:iCs/>
                <w:lang w:val="en-US"/>
              </w:rPr>
            </w:pPr>
            <w:proofErr w:type="spellStart"/>
            <w:r w:rsidRPr="0017071A">
              <w:rPr>
                <w:bCs/>
                <w:i/>
                <w:iCs/>
                <w:lang w:val="en-US"/>
              </w:rPr>
              <w:t>Fritidsfiskere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97AC" w14:textId="77777777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D3C" w14:textId="77777777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8924" w14:textId="77777777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499" w14:textId="47AE7205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2,0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961A" w14:textId="65CA39BC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0,8</w:t>
            </w:r>
          </w:p>
        </w:tc>
      </w:tr>
      <w:tr w:rsidR="00306352" w14:paraId="22EC9843" w14:textId="32A18BA2" w:rsidTr="00306352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FCB690A" w14:textId="02C7A4AA" w:rsidR="00306352" w:rsidRDefault="00306352" w:rsidP="003E365F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DF469A">
              <w:rPr>
                <w:b/>
              </w:rPr>
              <w:t>Sydvest (</w:t>
            </w:r>
            <w:r>
              <w:rPr>
                <w:b/>
              </w:rPr>
              <w:t>NAFO 1D + 1E + 1F)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98984B2" w14:textId="444E0C5F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36,4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BB44EE5" w14:textId="2C037AE8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16,3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F4383CD" w14:textId="7F891DBF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15,6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C243CCB" w14:textId="3128AEA9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17,3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53D121C" w14:textId="4D2A7C47" w:rsidR="00306352" w:rsidRDefault="00306352" w:rsidP="003E365F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20,3</w:t>
            </w:r>
          </w:p>
        </w:tc>
      </w:tr>
      <w:tr w:rsidR="00306352" w14:paraId="6BEA09F1" w14:textId="3288CA1B" w:rsidTr="00306352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0C44" w14:textId="792ECCF5" w:rsidR="00306352" w:rsidRPr="00DF469A" w:rsidRDefault="00306352" w:rsidP="0017071A">
            <w:pPr>
              <w:jc w:val="both"/>
              <w:rPr>
                <w:b/>
              </w:rPr>
            </w:pPr>
            <w:proofErr w:type="spellStart"/>
            <w:r w:rsidRPr="0017071A">
              <w:rPr>
                <w:bCs/>
                <w:i/>
                <w:iCs/>
                <w:lang w:val="en-US"/>
              </w:rPr>
              <w:t>Erhvervsfiskere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4FEA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B3A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C408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3714" w14:textId="2A86AF8B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12,3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E1BE" w14:textId="2F22D208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14,2</w:t>
            </w:r>
          </w:p>
        </w:tc>
      </w:tr>
      <w:tr w:rsidR="00306352" w14:paraId="36499AF3" w14:textId="5045DA34" w:rsidTr="00306352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F3A9" w14:textId="1379CA85" w:rsidR="00306352" w:rsidRPr="00DF469A" w:rsidRDefault="00306352" w:rsidP="0017071A">
            <w:pPr>
              <w:jc w:val="both"/>
              <w:rPr>
                <w:b/>
              </w:rPr>
            </w:pPr>
            <w:proofErr w:type="spellStart"/>
            <w:r w:rsidRPr="0017071A">
              <w:rPr>
                <w:bCs/>
                <w:i/>
                <w:iCs/>
                <w:lang w:val="en-US"/>
              </w:rPr>
              <w:t>Fritidsfiskere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8F0E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52B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0D7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8971" w14:textId="06663CBE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65A7" w14:textId="3702099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6,1</w:t>
            </w:r>
          </w:p>
        </w:tc>
      </w:tr>
      <w:tr w:rsidR="00306352" w14:paraId="01F9AC59" w14:textId="42518404" w:rsidTr="00306352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999FEE1" w14:textId="77777777" w:rsidR="00306352" w:rsidRDefault="00306352" w:rsidP="0017071A">
            <w:pPr>
              <w:jc w:val="both"/>
              <w:rPr>
                <w:b/>
              </w:rPr>
            </w:pPr>
            <w:r>
              <w:rPr>
                <w:b/>
              </w:rPr>
              <w:t>Østgrønland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3D3F4F3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568E7BF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48F3938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592E0FA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0,8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ECDA32D" w14:textId="53C1E86C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1,4</w:t>
            </w:r>
          </w:p>
        </w:tc>
      </w:tr>
      <w:tr w:rsidR="00306352" w14:paraId="70BE7D71" w14:textId="2CAF20D5" w:rsidTr="00306352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BDB3" w14:textId="178FEF4C" w:rsidR="00306352" w:rsidRDefault="00306352" w:rsidP="0017071A">
            <w:pPr>
              <w:jc w:val="both"/>
              <w:rPr>
                <w:b/>
              </w:rPr>
            </w:pPr>
            <w:proofErr w:type="spellStart"/>
            <w:r w:rsidRPr="0017071A">
              <w:rPr>
                <w:bCs/>
                <w:i/>
                <w:iCs/>
                <w:lang w:val="en-US"/>
              </w:rPr>
              <w:t>Erhvervsfiskere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71F7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E6D2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B2D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D4F9" w14:textId="17656F23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0,4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3650" w14:textId="1DF4E5EC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0,5</w:t>
            </w:r>
          </w:p>
        </w:tc>
      </w:tr>
      <w:tr w:rsidR="00306352" w14:paraId="65315701" w14:textId="5AD19F66" w:rsidTr="00306352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762" w14:textId="07DBE96A" w:rsidR="00306352" w:rsidRDefault="00306352" w:rsidP="0017071A">
            <w:pPr>
              <w:jc w:val="both"/>
              <w:rPr>
                <w:b/>
              </w:rPr>
            </w:pPr>
            <w:proofErr w:type="spellStart"/>
            <w:r w:rsidRPr="0017071A">
              <w:rPr>
                <w:bCs/>
                <w:i/>
                <w:iCs/>
                <w:lang w:val="en-US"/>
              </w:rPr>
              <w:t>Fritidsfiskere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1B5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350E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DEF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E71D" w14:textId="3AC2BD0D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0,4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3B4" w14:textId="7F27BFB5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0,9</w:t>
            </w:r>
          </w:p>
        </w:tc>
      </w:tr>
      <w:tr w:rsidR="00306352" w14:paraId="7DC72961" w14:textId="58295D49" w:rsidTr="00306352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255923E" w14:textId="77777777" w:rsidR="00306352" w:rsidRDefault="00306352" w:rsidP="0017071A">
            <w:pPr>
              <w:jc w:val="both"/>
              <w:rPr>
                <w:b/>
              </w:rPr>
            </w:pPr>
            <w:r>
              <w:rPr>
                <w:b/>
              </w:rPr>
              <w:t>Samlet kvoteoptag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7D85269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0DE3042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6EE0A9A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5197961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D526A5D" w14:textId="77777777" w:rsidR="00306352" w:rsidRDefault="00306352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30</w:t>
            </w:r>
          </w:p>
        </w:tc>
      </w:tr>
    </w:tbl>
    <w:p w14:paraId="7824E4FB" w14:textId="13006510" w:rsidR="000D13B1" w:rsidRDefault="000D13B1" w:rsidP="00A2779A">
      <w:pPr>
        <w:rPr>
          <w:b/>
        </w:rPr>
      </w:pPr>
    </w:p>
    <w:p w14:paraId="245125D4" w14:textId="47329137" w:rsidR="003A777C" w:rsidRDefault="003A777C" w:rsidP="00A2779A">
      <w:pPr>
        <w:rPr>
          <w:b/>
        </w:rPr>
      </w:pPr>
      <w:r>
        <w:rPr>
          <w:b/>
        </w:rPr>
        <w:lastRenderedPageBreak/>
        <w:t xml:space="preserve">Tabel </w:t>
      </w:r>
      <w:r w:rsidR="008068AB">
        <w:rPr>
          <w:b/>
        </w:rPr>
        <w:t>3</w:t>
      </w:r>
      <w:r>
        <w:rPr>
          <w:b/>
        </w:rPr>
        <w:t xml:space="preserve">: Procentvis fordeling per forvaltningsområde 2015 </w:t>
      </w:r>
      <w:r w:rsidR="006219F0">
        <w:rPr>
          <w:b/>
        </w:rPr>
        <w:t>–</w:t>
      </w:r>
      <w:r>
        <w:rPr>
          <w:b/>
        </w:rPr>
        <w:t xml:space="preserve"> 20</w:t>
      </w:r>
      <w:r w:rsidR="00A26003">
        <w:rPr>
          <w:b/>
        </w:rPr>
        <w:t>20, samt procentvis fordeling mellem erhvervsfiskere og fritidsfiskere per forvaltningsområde 2018-2020.</w:t>
      </w:r>
    </w:p>
    <w:tbl>
      <w:tblPr>
        <w:tblStyle w:val="Tabel-Gitter"/>
        <w:tblW w:w="10878" w:type="dxa"/>
        <w:tblInd w:w="-564" w:type="dxa"/>
        <w:tblLayout w:type="fixed"/>
        <w:tblLook w:val="04A0" w:firstRow="1" w:lastRow="0" w:firstColumn="1" w:lastColumn="0" w:noHBand="0" w:noVBand="1"/>
      </w:tblPr>
      <w:tblGrid>
        <w:gridCol w:w="3042"/>
        <w:gridCol w:w="1069"/>
        <w:gridCol w:w="1070"/>
        <w:gridCol w:w="1070"/>
        <w:gridCol w:w="1070"/>
        <w:gridCol w:w="1070"/>
        <w:gridCol w:w="1070"/>
        <w:gridCol w:w="1417"/>
      </w:tblGrid>
      <w:tr w:rsidR="00A26003" w14:paraId="44FD5966" w14:textId="77777777" w:rsidTr="00A26003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D01E953" w14:textId="77777777" w:rsidR="0017071A" w:rsidRDefault="0017071A" w:rsidP="0016529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Forvaltningsområde: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D60E519" w14:textId="77777777" w:rsidR="0017071A" w:rsidRDefault="0017071A" w:rsidP="0016529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 2015 (%)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941E904" w14:textId="77777777" w:rsidR="0017071A" w:rsidRDefault="0017071A" w:rsidP="0016529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2016 (%)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0951EE3" w14:textId="34FCD8CC" w:rsidR="0017071A" w:rsidRDefault="0017071A" w:rsidP="0016529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2017 (%)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3CEBB89" w14:textId="77777777" w:rsidR="0017071A" w:rsidRDefault="0017071A" w:rsidP="0016529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2018 (%)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CFD6524" w14:textId="77777777" w:rsidR="0017071A" w:rsidRDefault="0017071A" w:rsidP="0016529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2019 (%)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DE511DE" w14:textId="579C2377" w:rsidR="0017071A" w:rsidRDefault="0017071A" w:rsidP="0016529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2020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01DDEE8" w14:textId="6DC2312A" w:rsidR="0017071A" w:rsidRDefault="0017071A" w:rsidP="0016529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Samlet gennemsnit</w:t>
            </w:r>
          </w:p>
        </w:tc>
      </w:tr>
      <w:tr w:rsidR="00A26003" w:rsidRPr="00280535" w14:paraId="44B25F6D" w14:textId="77777777" w:rsidTr="00A26003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65B8648" w14:textId="47737593" w:rsidR="0017071A" w:rsidRPr="00280535" w:rsidRDefault="0017071A" w:rsidP="0016529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proofErr w:type="spellStart"/>
            <w:r w:rsidRPr="00280535">
              <w:rPr>
                <w:b/>
                <w:lang w:val="en-US"/>
              </w:rPr>
              <w:t>Nordvest</w:t>
            </w:r>
            <w:proofErr w:type="spellEnd"/>
            <w:r w:rsidRPr="00280535">
              <w:rPr>
                <w:b/>
                <w:lang w:val="en-US"/>
              </w:rPr>
              <w:t xml:space="preserve"> (NAFO 1A + 1B + 1C)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03B4508" w14:textId="6837EE78" w:rsidR="0017071A" w:rsidRPr="00280535" w:rsidRDefault="0017071A" w:rsidP="00165298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CD42BAF" w14:textId="45A22E63" w:rsidR="0017071A" w:rsidRPr="00280535" w:rsidRDefault="0017071A" w:rsidP="00165298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9CA201" w14:textId="3510F93D" w:rsidR="0017071A" w:rsidRPr="00280535" w:rsidRDefault="0017071A" w:rsidP="00165298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DFFDA81" w14:textId="2851B06D" w:rsidR="0017071A" w:rsidRPr="00280535" w:rsidRDefault="0017071A" w:rsidP="00165298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B6E4E0C" w14:textId="2257F71F" w:rsidR="0017071A" w:rsidRPr="00280535" w:rsidRDefault="0017071A" w:rsidP="00165298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9C5904" w14:textId="2D4DBC90" w:rsidR="0017071A" w:rsidRPr="00A26003" w:rsidRDefault="0017071A" w:rsidP="00165298">
            <w:pPr>
              <w:jc w:val="both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1B4EB43" w14:textId="67EB43FE" w:rsidR="0017071A" w:rsidRPr="00A26003" w:rsidRDefault="0017071A" w:rsidP="00165298">
            <w:pPr>
              <w:jc w:val="both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39</w:t>
            </w:r>
          </w:p>
        </w:tc>
      </w:tr>
      <w:tr w:rsidR="0017071A" w:rsidRPr="00280535" w14:paraId="39B91CBE" w14:textId="77777777" w:rsidTr="0017071A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D94" w14:textId="49377937" w:rsidR="0017071A" w:rsidRPr="00280535" w:rsidRDefault="0017071A" w:rsidP="0017071A">
            <w:pPr>
              <w:jc w:val="both"/>
              <w:rPr>
                <w:b/>
                <w:lang w:val="en-US"/>
              </w:rPr>
            </w:pPr>
            <w:proofErr w:type="spellStart"/>
            <w:r w:rsidRPr="0017071A">
              <w:rPr>
                <w:bCs/>
                <w:i/>
                <w:iCs/>
                <w:lang w:val="en-US"/>
              </w:rPr>
              <w:t>Erhvervsfiskere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FFA1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ADA9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1512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23DD" w14:textId="3D28B972" w:rsidR="0017071A" w:rsidRDefault="00A26003" w:rsidP="0017071A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456" w14:textId="06FB0C3A" w:rsidR="0017071A" w:rsidRDefault="00A26003" w:rsidP="0017071A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08C3" w14:textId="4A3F188D" w:rsidR="0017071A" w:rsidRPr="00A26003" w:rsidRDefault="0017071A" w:rsidP="0017071A">
            <w:pPr>
              <w:jc w:val="both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42EC" w14:textId="5084AB38" w:rsidR="0017071A" w:rsidRPr="00A26003" w:rsidRDefault="00A26003" w:rsidP="0017071A">
            <w:pPr>
              <w:jc w:val="both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90</w:t>
            </w:r>
          </w:p>
        </w:tc>
      </w:tr>
      <w:tr w:rsidR="0017071A" w:rsidRPr="00280535" w14:paraId="1D540E56" w14:textId="77777777" w:rsidTr="0017071A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209E" w14:textId="70320300" w:rsidR="0017071A" w:rsidRPr="00280535" w:rsidRDefault="0017071A" w:rsidP="0017071A">
            <w:pPr>
              <w:jc w:val="both"/>
              <w:rPr>
                <w:b/>
                <w:lang w:val="en-US"/>
              </w:rPr>
            </w:pPr>
            <w:proofErr w:type="spellStart"/>
            <w:r w:rsidRPr="0017071A">
              <w:rPr>
                <w:bCs/>
                <w:i/>
                <w:iCs/>
                <w:lang w:val="en-US"/>
              </w:rPr>
              <w:t>Fritidsfiskere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3120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FD6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DE34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C72" w14:textId="5E5F15A4" w:rsidR="0017071A" w:rsidRDefault="00A26003" w:rsidP="0017071A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3F7B" w14:textId="68A2EAE8" w:rsidR="0017071A" w:rsidRDefault="00A26003" w:rsidP="0017071A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8129" w14:textId="48F9C959" w:rsidR="0017071A" w:rsidRPr="00A26003" w:rsidRDefault="0017071A" w:rsidP="0017071A">
            <w:pPr>
              <w:jc w:val="both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4B71" w14:textId="5C201AF0" w:rsidR="0017071A" w:rsidRPr="00A26003" w:rsidRDefault="00A26003" w:rsidP="0017071A">
            <w:pPr>
              <w:jc w:val="both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10</w:t>
            </w:r>
          </w:p>
        </w:tc>
      </w:tr>
      <w:tr w:rsidR="00A26003" w14:paraId="38479CD1" w14:textId="77777777" w:rsidTr="00A26003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82E1A4" w14:textId="7D23FEFA" w:rsidR="0017071A" w:rsidRDefault="0017071A" w:rsidP="0017071A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280535">
              <w:rPr>
                <w:b/>
              </w:rPr>
              <w:t>Sydvest (</w:t>
            </w:r>
            <w:r>
              <w:rPr>
                <w:b/>
              </w:rPr>
              <w:t>NAFO 1D + 1E + 1F)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6174D42" w14:textId="05100C6B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6FBC069" w14:textId="2639BF9A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311310C" w14:textId="481D0C15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59355FA" w14:textId="6C9AE02E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0562FA4" w14:textId="5C0F45FF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32AF1C" w14:textId="0351A9A0" w:rsidR="0017071A" w:rsidRPr="00A26003" w:rsidRDefault="0017071A" w:rsidP="0017071A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56E6C90" w14:textId="3EFBC7F4" w:rsidR="0017071A" w:rsidRPr="00A26003" w:rsidRDefault="0017071A" w:rsidP="0017071A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</w:rPr>
              <w:t>58</w:t>
            </w:r>
          </w:p>
        </w:tc>
      </w:tr>
      <w:tr w:rsidR="0017071A" w14:paraId="4754D7A7" w14:textId="77777777" w:rsidTr="0017071A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1CD1" w14:textId="7CD01EE0" w:rsidR="0017071A" w:rsidRPr="00280535" w:rsidRDefault="0017071A" w:rsidP="0017071A">
            <w:pPr>
              <w:jc w:val="both"/>
              <w:rPr>
                <w:b/>
              </w:rPr>
            </w:pPr>
            <w:proofErr w:type="spellStart"/>
            <w:r w:rsidRPr="0017071A">
              <w:rPr>
                <w:bCs/>
                <w:i/>
                <w:iCs/>
                <w:lang w:val="en-US"/>
              </w:rPr>
              <w:t>Erhvervsfiskere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B19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01BB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4251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0008" w14:textId="7E28583A" w:rsidR="0017071A" w:rsidRDefault="00A26003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0E3F" w14:textId="11D3D30F" w:rsidR="0017071A" w:rsidRDefault="00A26003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B0BE" w14:textId="65C52715" w:rsidR="0017071A" w:rsidRPr="00A26003" w:rsidRDefault="0017071A" w:rsidP="0017071A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4A78" w14:textId="2BB178A3" w:rsidR="0017071A" w:rsidRPr="00A26003" w:rsidRDefault="00A26003" w:rsidP="0017071A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</w:rPr>
              <w:t>69</w:t>
            </w:r>
          </w:p>
        </w:tc>
      </w:tr>
      <w:tr w:rsidR="0017071A" w14:paraId="678B81D0" w14:textId="77777777" w:rsidTr="0017071A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339" w14:textId="573D6BE3" w:rsidR="0017071A" w:rsidRPr="00280535" w:rsidRDefault="0017071A" w:rsidP="0017071A">
            <w:pPr>
              <w:jc w:val="both"/>
              <w:rPr>
                <w:b/>
              </w:rPr>
            </w:pPr>
            <w:proofErr w:type="spellStart"/>
            <w:r w:rsidRPr="0017071A">
              <w:rPr>
                <w:bCs/>
                <w:i/>
                <w:iCs/>
                <w:lang w:val="en-US"/>
              </w:rPr>
              <w:t>Fritidsfiskere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819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317B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12D3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C01" w14:textId="27B30D6D" w:rsidR="0017071A" w:rsidRDefault="00A26003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D06" w14:textId="7548FA49" w:rsidR="0017071A" w:rsidRDefault="00A26003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2C1" w14:textId="613EEE28" w:rsidR="0017071A" w:rsidRPr="00A26003" w:rsidRDefault="0017071A" w:rsidP="0017071A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0FEC" w14:textId="57C03F8C" w:rsidR="0017071A" w:rsidRPr="00A26003" w:rsidRDefault="00A26003" w:rsidP="0017071A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</w:rPr>
              <w:t>31</w:t>
            </w:r>
          </w:p>
        </w:tc>
      </w:tr>
      <w:tr w:rsidR="00A26003" w14:paraId="47E695AD" w14:textId="77777777" w:rsidTr="00A26003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E57C2DC" w14:textId="77777777" w:rsidR="0017071A" w:rsidRDefault="0017071A" w:rsidP="0017071A">
            <w:pPr>
              <w:jc w:val="both"/>
              <w:rPr>
                <w:b/>
              </w:rPr>
            </w:pPr>
            <w:r>
              <w:rPr>
                <w:b/>
              </w:rPr>
              <w:t>Østgrønland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7DB4FF4" w14:textId="4A7DC188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3974245" w14:textId="518F14AE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CD62A01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F165981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7748E58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3DEFA1" w14:textId="4643611A" w:rsidR="0017071A" w:rsidRPr="00A26003" w:rsidRDefault="0017071A" w:rsidP="0017071A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D858FB3" w14:textId="6735BC28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7071A" w14:paraId="453D4E30" w14:textId="77777777" w:rsidTr="00A26003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3B1" w14:textId="07FC6AFD" w:rsidR="0017071A" w:rsidRDefault="0017071A" w:rsidP="0017071A">
            <w:pPr>
              <w:jc w:val="both"/>
              <w:rPr>
                <w:b/>
              </w:rPr>
            </w:pPr>
            <w:proofErr w:type="spellStart"/>
            <w:r w:rsidRPr="0017071A">
              <w:rPr>
                <w:bCs/>
                <w:i/>
                <w:iCs/>
                <w:lang w:val="en-US"/>
              </w:rPr>
              <w:t>Erhvervsfiskere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A947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E9AE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65F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F9CB" w14:textId="562E0166" w:rsidR="0017071A" w:rsidRDefault="00A26003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BD3" w14:textId="7CA6CCF8" w:rsidR="0017071A" w:rsidRDefault="00A26003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EE88" w14:textId="362DA121" w:rsidR="0017071A" w:rsidRPr="00A26003" w:rsidRDefault="0017071A" w:rsidP="0017071A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BE397A4" w14:textId="13804425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7071A" w14:paraId="34834744" w14:textId="77777777" w:rsidTr="00A26003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9079" w14:textId="79A12082" w:rsidR="0017071A" w:rsidRDefault="0017071A" w:rsidP="0017071A">
            <w:pPr>
              <w:jc w:val="both"/>
              <w:rPr>
                <w:b/>
              </w:rPr>
            </w:pPr>
            <w:proofErr w:type="spellStart"/>
            <w:r w:rsidRPr="0017071A">
              <w:rPr>
                <w:bCs/>
                <w:i/>
                <w:iCs/>
                <w:lang w:val="en-US"/>
              </w:rPr>
              <w:t>Fritidsfiskere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577D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0E9C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32FC" w14:textId="77777777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F638" w14:textId="7FFC151F" w:rsidR="0017071A" w:rsidRDefault="00A26003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1CF" w14:textId="25258E89" w:rsidR="0017071A" w:rsidRDefault="00A26003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46F7" w14:textId="6E41D581" w:rsidR="0017071A" w:rsidRPr="00A26003" w:rsidRDefault="0017071A" w:rsidP="0017071A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A26003">
              <w:rPr>
                <w:rFonts w:cs="Times New Roman"/>
                <w:bCs/>
                <w:color w:val="000000" w:themeColor="text1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85EB646" w14:textId="3AC2EB5A" w:rsidR="0017071A" w:rsidRDefault="0017071A" w:rsidP="001707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79ED209F" w14:textId="72493952" w:rsidR="00A2779A" w:rsidRDefault="00A2779A" w:rsidP="001D7DB6">
      <w:pPr>
        <w:rPr>
          <w:b/>
        </w:rPr>
      </w:pPr>
    </w:p>
    <w:p w14:paraId="2B54DEF0" w14:textId="54EDC165" w:rsidR="008068AB" w:rsidRDefault="008068AB" w:rsidP="008068AB">
      <w:pPr>
        <w:rPr>
          <w:b/>
        </w:rPr>
      </w:pPr>
      <w:r>
        <w:rPr>
          <w:b/>
        </w:rPr>
        <w:t>Tabel 4: Fordelingsnøgle for forvaltningsområderne Nordvest og Sydvest i procent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068AB" w14:paraId="7CF03364" w14:textId="77777777" w:rsidTr="008C2A96">
        <w:tc>
          <w:tcPr>
            <w:tcW w:w="4889" w:type="dxa"/>
            <w:shd w:val="clear" w:color="auto" w:fill="C6D9F1" w:themeFill="text2" w:themeFillTint="33"/>
          </w:tcPr>
          <w:p w14:paraId="71F969FC" w14:textId="77777777" w:rsidR="008068AB" w:rsidRDefault="008068AB" w:rsidP="008C2A96">
            <w:pPr>
              <w:rPr>
                <w:b/>
              </w:rPr>
            </w:pPr>
            <w:r>
              <w:rPr>
                <w:b/>
              </w:rPr>
              <w:t>Forvaltningsområde</w:t>
            </w:r>
          </w:p>
        </w:tc>
        <w:tc>
          <w:tcPr>
            <w:tcW w:w="4889" w:type="dxa"/>
            <w:shd w:val="clear" w:color="auto" w:fill="C6D9F1" w:themeFill="text2" w:themeFillTint="33"/>
          </w:tcPr>
          <w:p w14:paraId="0863EFB9" w14:textId="77777777" w:rsidR="008068AB" w:rsidRDefault="008068AB" w:rsidP="008C2A96">
            <w:pPr>
              <w:rPr>
                <w:b/>
              </w:rPr>
            </w:pPr>
            <w:r>
              <w:rPr>
                <w:b/>
              </w:rPr>
              <w:t>Fordelingsnøgle (%)</w:t>
            </w:r>
          </w:p>
        </w:tc>
      </w:tr>
      <w:tr w:rsidR="008068AB" w14:paraId="0CFE9082" w14:textId="77777777" w:rsidTr="008C2A96">
        <w:tc>
          <w:tcPr>
            <w:tcW w:w="4889" w:type="dxa"/>
          </w:tcPr>
          <w:p w14:paraId="25F08375" w14:textId="77777777" w:rsidR="008068AB" w:rsidRDefault="008068AB" w:rsidP="008C2A96">
            <w:pPr>
              <w:rPr>
                <w:b/>
              </w:rPr>
            </w:pPr>
            <w:r>
              <w:rPr>
                <w:b/>
              </w:rPr>
              <w:t>Nordvest</w:t>
            </w:r>
          </w:p>
        </w:tc>
        <w:tc>
          <w:tcPr>
            <w:tcW w:w="4889" w:type="dxa"/>
          </w:tcPr>
          <w:p w14:paraId="16EFEA5C" w14:textId="77777777" w:rsidR="008068AB" w:rsidRDefault="008068AB" w:rsidP="008C2A9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068AB" w14:paraId="50E905BE" w14:textId="77777777" w:rsidTr="008C2A96">
        <w:tc>
          <w:tcPr>
            <w:tcW w:w="4889" w:type="dxa"/>
          </w:tcPr>
          <w:p w14:paraId="1CFA90D6" w14:textId="77777777" w:rsidR="008068AB" w:rsidRDefault="008068AB" w:rsidP="008C2A96">
            <w:pPr>
              <w:rPr>
                <w:b/>
              </w:rPr>
            </w:pPr>
            <w:r>
              <w:rPr>
                <w:b/>
              </w:rPr>
              <w:t>Sydvest</w:t>
            </w:r>
          </w:p>
        </w:tc>
        <w:tc>
          <w:tcPr>
            <w:tcW w:w="4889" w:type="dxa"/>
          </w:tcPr>
          <w:p w14:paraId="539331C4" w14:textId="77777777" w:rsidR="008068AB" w:rsidRDefault="008068AB" w:rsidP="008C2A96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14:paraId="168E2630" w14:textId="77777777" w:rsidR="008068AB" w:rsidRDefault="008068AB" w:rsidP="008068AB"/>
    <w:p w14:paraId="7B62CE0C" w14:textId="243BEE77" w:rsidR="002D6B62" w:rsidRDefault="002D6B62" w:rsidP="001D7DB6">
      <w:pPr>
        <w:rPr>
          <w:b/>
        </w:rPr>
      </w:pPr>
    </w:p>
    <w:p w14:paraId="2A380F6B" w14:textId="5595DF4F" w:rsidR="002D6B62" w:rsidRDefault="002D6B62" w:rsidP="001D7DB6">
      <w:pPr>
        <w:rPr>
          <w:b/>
        </w:rPr>
      </w:pPr>
    </w:p>
    <w:p w14:paraId="71A4B08A" w14:textId="3533FE9E" w:rsidR="002D6B62" w:rsidRDefault="002D6B62" w:rsidP="001D7DB6">
      <w:pPr>
        <w:rPr>
          <w:b/>
        </w:rPr>
      </w:pPr>
    </w:p>
    <w:p w14:paraId="26BBB69C" w14:textId="40F92165" w:rsidR="002D6B62" w:rsidRDefault="002D6B62" w:rsidP="001D7DB6">
      <w:pPr>
        <w:rPr>
          <w:b/>
        </w:rPr>
      </w:pPr>
    </w:p>
    <w:p w14:paraId="3082F2F0" w14:textId="7E4C2C53" w:rsidR="002D6B62" w:rsidRDefault="002D6B62" w:rsidP="001D7DB6">
      <w:pPr>
        <w:rPr>
          <w:b/>
        </w:rPr>
      </w:pPr>
    </w:p>
    <w:p w14:paraId="4B4D74BF" w14:textId="0EBE4C19" w:rsidR="002D6B62" w:rsidRDefault="002D6B62" w:rsidP="001D7DB6">
      <w:pPr>
        <w:rPr>
          <w:b/>
        </w:rPr>
      </w:pPr>
    </w:p>
    <w:p w14:paraId="357A18E6" w14:textId="0C64B787" w:rsidR="002D6B62" w:rsidRDefault="002D6B62" w:rsidP="001D7DB6">
      <w:pPr>
        <w:rPr>
          <w:b/>
        </w:rPr>
      </w:pPr>
    </w:p>
    <w:p w14:paraId="0EE1749D" w14:textId="1D2EB075" w:rsidR="002D6B62" w:rsidRDefault="002D6B62" w:rsidP="001D7DB6">
      <w:pPr>
        <w:rPr>
          <w:b/>
        </w:rPr>
      </w:pPr>
    </w:p>
    <w:p w14:paraId="233435CC" w14:textId="4CDC8EDA" w:rsidR="002D6B62" w:rsidRDefault="002D6B62" w:rsidP="001D7DB6">
      <w:pPr>
        <w:rPr>
          <w:b/>
        </w:rPr>
      </w:pPr>
    </w:p>
    <w:p w14:paraId="44612CF1" w14:textId="76647CA2" w:rsidR="002D6B62" w:rsidRDefault="002D6B62" w:rsidP="001D7DB6">
      <w:pPr>
        <w:rPr>
          <w:b/>
        </w:rPr>
      </w:pPr>
    </w:p>
    <w:p w14:paraId="080E50A9" w14:textId="4CDD722B" w:rsidR="002D6B62" w:rsidRDefault="002D6B62" w:rsidP="001D7DB6">
      <w:pPr>
        <w:rPr>
          <w:b/>
        </w:rPr>
      </w:pPr>
    </w:p>
    <w:p w14:paraId="6671C39F" w14:textId="5AC2966C" w:rsidR="002D6B62" w:rsidRDefault="002D6B62" w:rsidP="001D7DB6">
      <w:pPr>
        <w:rPr>
          <w:b/>
        </w:rPr>
      </w:pPr>
    </w:p>
    <w:p w14:paraId="761180B4" w14:textId="7660F59B" w:rsidR="002D6B62" w:rsidRDefault="002D6B62" w:rsidP="001D7DB6">
      <w:pPr>
        <w:rPr>
          <w:b/>
        </w:rPr>
      </w:pPr>
    </w:p>
    <w:p w14:paraId="4F61CDC4" w14:textId="26CB4250" w:rsidR="002D6B62" w:rsidRDefault="002D6B62" w:rsidP="002D6B62">
      <w:pPr>
        <w:pStyle w:val="Overskrift2"/>
      </w:pPr>
      <w:bookmarkStart w:id="27" w:name="_Toc70320845"/>
      <w:r w:rsidRPr="002D6B62">
        <w:lastRenderedPageBreak/>
        <w:t>Bilag 3</w:t>
      </w:r>
      <w:r>
        <w:t>.</w:t>
      </w:r>
      <w:r w:rsidRPr="002D6B62">
        <w:t xml:space="preserve"> Fordelingsnøgle mellem erhvervsfiskere og fritidsfiskere</w:t>
      </w:r>
      <w:bookmarkEnd w:id="27"/>
    </w:p>
    <w:p w14:paraId="02861F8E" w14:textId="32904F50" w:rsidR="00F826F7" w:rsidRDefault="00184AEA" w:rsidP="00A1332B">
      <w:pPr>
        <w:jc w:val="both"/>
      </w:pPr>
      <w:r>
        <w:t xml:space="preserve">Fordelingsnøgle 2 er den andel af kvoten for </w:t>
      </w:r>
      <w:r w:rsidR="009611AF">
        <w:t>Vestgrønland</w:t>
      </w:r>
      <w:r>
        <w:t xml:space="preserve">, som allokeres til </w:t>
      </w:r>
      <w:r w:rsidR="009611AF">
        <w:t>henholdsvis</w:t>
      </w:r>
      <w:r>
        <w:t xml:space="preserve"> Erhvervsfisker</w:t>
      </w:r>
      <w:r w:rsidR="00F826F7">
        <w:t>e</w:t>
      </w:r>
      <w:r>
        <w:t xml:space="preserve"> og Fritidsfiskere i forvaltningsområderne Nordvest og Sydvest. Fordelingsnøgle 2 beregnes ved at tage den procentsats, som er allokeret til det pågældende segment, af fordelingsnøgle 1</w:t>
      </w:r>
      <w:r w:rsidR="00F826F7">
        <w:t>, og gange med procentsatsen for henholdsvis erhvervsfiskere eller fritidsfiskere</w:t>
      </w:r>
      <w:r>
        <w:t xml:space="preserve">. </w:t>
      </w:r>
      <w:r w:rsidR="00F826F7">
        <w:t xml:space="preserve">Den procentvise fordeling mellem erhvervsfiskere og fritidsfiskere </w:t>
      </w:r>
      <w:r w:rsidR="00983781">
        <w:t>er fastsat på baggrund af fangster som vist i tabel 3.</w:t>
      </w:r>
    </w:p>
    <w:p w14:paraId="2FEBFA0D" w14:textId="590DD3E0" w:rsidR="00184AEA" w:rsidRDefault="00F826F7" w:rsidP="00BD7136">
      <w:proofErr w:type="gramStart"/>
      <w:r>
        <w:t>Eksempelvis</w:t>
      </w:r>
      <w:proofErr w:type="gramEnd"/>
      <w:r>
        <w:t xml:space="preserve"> vil fordelingsnøgle 2 for erhvervsfiskere i forvaltningsområde Sydvest være 60% (fordelingsnøgle 1 for Sydvest) * 70% (fordeling til erhvervsfiskere) = 42%.</w:t>
      </w:r>
    </w:p>
    <w:p w14:paraId="04BA27E0" w14:textId="4E55CB12" w:rsidR="00BD7136" w:rsidRPr="00BD7136" w:rsidRDefault="00BD7136" w:rsidP="00BD7136">
      <w:pPr>
        <w:rPr>
          <w:b/>
          <w:bCs/>
        </w:rPr>
      </w:pPr>
      <w:r w:rsidRPr="00BD7136">
        <w:rPr>
          <w:b/>
          <w:bCs/>
        </w:rPr>
        <w:t xml:space="preserve">Tabel </w:t>
      </w:r>
      <w:r w:rsidR="0017071A">
        <w:rPr>
          <w:b/>
          <w:bCs/>
        </w:rPr>
        <w:t>5</w:t>
      </w:r>
      <w:r w:rsidRPr="00BD7136">
        <w:rPr>
          <w:b/>
          <w:bCs/>
        </w:rPr>
        <w:t>: Fordelingsnøgler for Erhvervsfiskere og Fritidsfiskere i forvaltningsområderne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BD7136" w14:paraId="73C1BB30" w14:textId="77777777" w:rsidTr="00865475">
        <w:tc>
          <w:tcPr>
            <w:tcW w:w="2463" w:type="dxa"/>
            <w:shd w:val="clear" w:color="auto" w:fill="D9D9D9" w:themeFill="background1" w:themeFillShade="D9"/>
          </w:tcPr>
          <w:p w14:paraId="42E826CD" w14:textId="77777777" w:rsidR="00BD7136" w:rsidRPr="00157463" w:rsidRDefault="00BD7136" w:rsidP="00BD7136">
            <w:pPr>
              <w:jc w:val="both"/>
              <w:rPr>
                <w:b/>
                <w:bCs/>
              </w:rPr>
            </w:pPr>
            <w:r w:rsidRPr="00157463">
              <w:rPr>
                <w:b/>
                <w:bCs/>
              </w:rPr>
              <w:t>Forvaltningsområder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5F257152" w14:textId="77777777" w:rsidR="00BD7136" w:rsidRPr="00157463" w:rsidRDefault="00BD7136" w:rsidP="00BD713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Fordelingsnøgle 1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14:paraId="3A793161" w14:textId="6A14EFB0" w:rsidR="00BD7136" w:rsidRPr="00157463" w:rsidRDefault="00F826F7" w:rsidP="00BD713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Segment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566820DE" w14:textId="77777777" w:rsidR="00BD7136" w:rsidRPr="00157463" w:rsidRDefault="00BD7136" w:rsidP="00BD7136">
            <w:pPr>
              <w:jc w:val="both"/>
              <w:rPr>
                <w:b/>
                <w:bCs/>
              </w:rPr>
            </w:pPr>
            <w:r w:rsidRPr="00157463">
              <w:rPr>
                <w:b/>
                <w:bCs/>
              </w:rPr>
              <w:t>Fordelingsnøgle</w:t>
            </w:r>
            <w:r>
              <w:rPr>
                <w:b/>
                <w:bCs/>
              </w:rPr>
              <w:t xml:space="preserve"> 2</w:t>
            </w:r>
          </w:p>
        </w:tc>
      </w:tr>
      <w:tr w:rsidR="00BD7136" w14:paraId="1A983B41" w14:textId="77777777" w:rsidTr="00865475">
        <w:tc>
          <w:tcPr>
            <w:tcW w:w="2463" w:type="dxa"/>
            <w:vMerge w:val="restart"/>
            <w:vAlign w:val="center"/>
          </w:tcPr>
          <w:p w14:paraId="6A3718C5" w14:textId="77777777" w:rsidR="00BD7136" w:rsidRDefault="00BD7136" w:rsidP="00BD7136">
            <w:r>
              <w:t>Nordvest</w:t>
            </w:r>
          </w:p>
        </w:tc>
        <w:tc>
          <w:tcPr>
            <w:tcW w:w="2464" w:type="dxa"/>
            <w:vMerge w:val="restart"/>
            <w:vAlign w:val="center"/>
          </w:tcPr>
          <w:p w14:paraId="5EBE32FA" w14:textId="77777777" w:rsidR="00BD7136" w:rsidRDefault="00BD7136" w:rsidP="00BD7136">
            <w:r>
              <w:t>40%</w:t>
            </w:r>
          </w:p>
        </w:tc>
        <w:tc>
          <w:tcPr>
            <w:tcW w:w="2463" w:type="dxa"/>
            <w:vAlign w:val="center"/>
          </w:tcPr>
          <w:p w14:paraId="41B692DD" w14:textId="7265837C" w:rsidR="00BD7136" w:rsidRDefault="00BD7136" w:rsidP="00865475">
            <w:pPr>
              <w:jc w:val="right"/>
            </w:pPr>
            <w:r>
              <w:t>Erhvervsfiskere (70%)</w:t>
            </w:r>
          </w:p>
        </w:tc>
        <w:tc>
          <w:tcPr>
            <w:tcW w:w="2464" w:type="dxa"/>
          </w:tcPr>
          <w:p w14:paraId="142CED4C" w14:textId="55E5CB41" w:rsidR="00BD7136" w:rsidRPr="00BD7136" w:rsidRDefault="00865475" w:rsidP="00865475">
            <w:pPr>
              <w:jc w:val="right"/>
              <w:rPr>
                <w:vertAlign w:val="superscript"/>
              </w:rPr>
            </w:pPr>
            <w:r>
              <w:t xml:space="preserve">40% * 70% = </w:t>
            </w:r>
            <w:r w:rsidR="00BD7136">
              <w:t xml:space="preserve">28 % </w:t>
            </w:r>
            <w:r w:rsidR="00BD7136">
              <w:rPr>
                <w:vertAlign w:val="superscript"/>
              </w:rPr>
              <w:t>1</w:t>
            </w:r>
          </w:p>
        </w:tc>
      </w:tr>
      <w:tr w:rsidR="00BD7136" w14:paraId="2809926F" w14:textId="77777777" w:rsidTr="00865475">
        <w:tc>
          <w:tcPr>
            <w:tcW w:w="2463" w:type="dxa"/>
            <w:vMerge/>
            <w:vAlign w:val="center"/>
          </w:tcPr>
          <w:p w14:paraId="5D25DA65" w14:textId="77777777" w:rsidR="00BD7136" w:rsidRDefault="00BD7136" w:rsidP="00BD7136"/>
        </w:tc>
        <w:tc>
          <w:tcPr>
            <w:tcW w:w="2464" w:type="dxa"/>
            <w:vMerge/>
            <w:vAlign w:val="center"/>
          </w:tcPr>
          <w:p w14:paraId="10382DDC" w14:textId="77777777" w:rsidR="00BD7136" w:rsidRDefault="00BD7136" w:rsidP="00BD7136"/>
        </w:tc>
        <w:tc>
          <w:tcPr>
            <w:tcW w:w="2463" w:type="dxa"/>
            <w:vAlign w:val="center"/>
          </w:tcPr>
          <w:p w14:paraId="56440A3E" w14:textId="63FAD21F" w:rsidR="00BD7136" w:rsidRDefault="00BD7136" w:rsidP="00865475">
            <w:pPr>
              <w:jc w:val="right"/>
            </w:pPr>
            <w:r>
              <w:t>Fritidsfiskere (30%)</w:t>
            </w:r>
          </w:p>
        </w:tc>
        <w:tc>
          <w:tcPr>
            <w:tcW w:w="2464" w:type="dxa"/>
          </w:tcPr>
          <w:p w14:paraId="0B49C4A5" w14:textId="7141347A" w:rsidR="00BD7136" w:rsidRDefault="00865475" w:rsidP="00865475">
            <w:pPr>
              <w:jc w:val="right"/>
            </w:pPr>
            <w:r>
              <w:t xml:space="preserve">40% * 30% = </w:t>
            </w:r>
            <w:r w:rsidR="00BD7136">
              <w:t xml:space="preserve">12 % </w:t>
            </w:r>
            <w:r w:rsidR="00BD7136">
              <w:rPr>
                <w:vertAlign w:val="superscript"/>
              </w:rPr>
              <w:t>1</w:t>
            </w:r>
          </w:p>
        </w:tc>
      </w:tr>
      <w:tr w:rsidR="00BD7136" w14:paraId="52A6B3C6" w14:textId="77777777" w:rsidTr="00865475">
        <w:tc>
          <w:tcPr>
            <w:tcW w:w="2463" w:type="dxa"/>
            <w:vMerge w:val="restart"/>
            <w:vAlign w:val="center"/>
          </w:tcPr>
          <w:p w14:paraId="12437169" w14:textId="77777777" w:rsidR="00BD7136" w:rsidRDefault="00BD7136" w:rsidP="00BD7136">
            <w:r>
              <w:t>Sydvest</w:t>
            </w:r>
          </w:p>
        </w:tc>
        <w:tc>
          <w:tcPr>
            <w:tcW w:w="2464" w:type="dxa"/>
            <w:vMerge w:val="restart"/>
            <w:vAlign w:val="center"/>
          </w:tcPr>
          <w:p w14:paraId="40628EC1" w14:textId="77777777" w:rsidR="00BD7136" w:rsidRDefault="00BD7136" w:rsidP="00BD7136">
            <w:r>
              <w:t>60%</w:t>
            </w:r>
          </w:p>
        </w:tc>
        <w:tc>
          <w:tcPr>
            <w:tcW w:w="2463" w:type="dxa"/>
            <w:vAlign w:val="center"/>
          </w:tcPr>
          <w:p w14:paraId="200B5224" w14:textId="5912BAE0" w:rsidR="00BD7136" w:rsidRDefault="00BD7136" w:rsidP="00865475">
            <w:pPr>
              <w:jc w:val="right"/>
            </w:pPr>
            <w:r>
              <w:t>Erhvervsfiskere (70%)</w:t>
            </w:r>
          </w:p>
        </w:tc>
        <w:tc>
          <w:tcPr>
            <w:tcW w:w="2464" w:type="dxa"/>
          </w:tcPr>
          <w:p w14:paraId="6D5AE240" w14:textId="7A712A94" w:rsidR="00BD7136" w:rsidRDefault="00865475" w:rsidP="00865475">
            <w:pPr>
              <w:jc w:val="right"/>
            </w:pPr>
            <w:r>
              <w:t xml:space="preserve">60% * 70% = </w:t>
            </w:r>
            <w:r w:rsidR="00BD7136">
              <w:t xml:space="preserve">42 % </w:t>
            </w:r>
            <w:r w:rsidR="00BD7136">
              <w:rPr>
                <w:vertAlign w:val="superscript"/>
              </w:rPr>
              <w:t>1</w:t>
            </w:r>
          </w:p>
        </w:tc>
      </w:tr>
      <w:tr w:rsidR="00BD7136" w14:paraId="2E7B363C" w14:textId="77777777" w:rsidTr="00865475">
        <w:tc>
          <w:tcPr>
            <w:tcW w:w="2463" w:type="dxa"/>
            <w:vMerge/>
          </w:tcPr>
          <w:p w14:paraId="604B9CF4" w14:textId="77777777" w:rsidR="00BD7136" w:rsidRDefault="00BD7136" w:rsidP="00BD7136">
            <w:pPr>
              <w:jc w:val="both"/>
            </w:pPr>
          </w:p>
        </w:tc>
        <w:tc>
          <w:tcPr>
            <w:tcW w:w="2464" w:type="dxa"/>
            <w:vMerge/>
          </w:tcPr>
          <w:p w14:paraId="4FD1174E" w14:textId="77777777" w:rsidR="00BD7136" w:rsidRDefault="00BD7136" w:rsidP="00BD7136">
            <w:pPr>
              <w:jc w:val="both"/>
            </w:pPr>
          </w:p>
        </w:tc>
        <w:tc>
          <w:tcPr>
            <w:tcW w:w="2463" w:type="dxa"/>
            <w:vAlign w:val="center"/>
          </w:tcPr>
          <w:p w14:paraId="2377DCEF" w14:textId="6AED9537" w:rsidR="00BD7136" w:rsidRDefault="00BD7136" w:rsidP="00865475">
            <w:pPr>
              <w:jc w:val="right"/>
            </w:pPr>
            <w:r>
              <w:t>Fritidsfiskere (30%)</w:t>
            </w:r>
          </w:p>
        </w:tc>
        <w:tc>
          <w:tcPr>
            <w:tcW w:w="2464" w:type="dxa"/>
          </w:tcPr>
          <w:p w14:paraId="48638F3F" w14:textId="4F5F910D" w:rsidR="00BD7136" w:rsidRDefault="00865475" w:rsidP="00865475">
            <w:pPr>
              <w:jc w:val="right"/>
            </w:pPr>
            <w:r>
              <w:t xml:space="preserve">60% * 30% = </w:t>
            </w:r>
            <w:r w:rsidR="00BD7136">
              <w:t xml:space="preserve">18 % </w:t>
            </w:r>
            <w:r w:rsidR="00BD7136">
              <w:rPr>
                <w:vertAlign w:val="superscript"/>
              </w:rPr>
              <w:t>1</w:t>
            </w:r>
          </w:p>
        </w:tc>
      </w:tr>
      <w:tr w:rsidR="00BD7136" w14:paraId="4D428F8E" w14:textId="77777777" w:rsidTr="00865475">
        <w:trPr>
          <w:trHeight w:val="269"/>
        </w:trPr>
        <w:tc>
          <w:tcPr>
            <w:tcW w:w="2463" w:type="dxa"/>
            <w:vMerge w:val="restart"/>
            <w:vAlign w:val="center"/>
          </w:tcPr>
          <w:p w14:paraId="47DC672D" w14:textId="77777777" w:rsidR="00BD7136" w:rsidRDefault="00BD7136" w:rsidP="00BD7136">
            <w:r>
              <w:t>Østgrønland</w:t>
            </w:r>
          </w:p>
        </w:tc>
        <w:tc>
          <w:tcPr>
            <w:tcW w:w="2464" w:type="dxa"/>
            <w:vMerge w:val="restart"/>
            <w:vAlign w:val="center"/>
          </w:tcPr>
          <w:p w14:paraId="6D6EF8D8" w14:textId="77777777" w:rsidR="00BD7136" w:rsidRDefault="00BD7136" w:rsidP="00BD7136">
            <w:r>
              <w:t>Fast årlig kvote på 3 tons</w:t>
            </w:r>
          </w:p>
        </w:tc>
        <w:tc>
          <w:tcPr>
            <w:tcW w:w="2463" w:type="dxa"/>
            <w:vAlign w:val="center"/>
          </w:tcPr>
          <w:p w14:paraId="554D6BF5" w14:textId="72732F1E" w:rsidR="00BD7136" w:rsidRDefault="00BD7136" w:rsidP="00865475">
            <w:pPr>
              <w:jc w:val="right"/>
            </w:pPr>
            <w:r>
              <w:t>Erhvervsfiskere (50%)</w:t>
            </w:r>
          </w:p>
        </w:tc>
        <w:tc>
          <w:tcPr>
            <w:tcW w:w="2464" w:type="dxa"/>
          </w:tcPr>
          <w:p w14:paraId="163368A7" w14:textId="77777777" w:rsidR="00BD7136" w:rsidRPr="00BD7136" w:rsidRDefault="00BD7136" w:rsidP="00865475">
            <w:pPr>
              <w:jc w:val="right"/>
              <w:rPr>
                <w:vertAlign w:val="superscript"/>
              </w:rPr>
            </w:pPr>
            <w:r>
              <w:t xml:space="preserve">50% </w:t>
            </w:r>
            <w:r>
              <w:rPr>
                <w:vertAlign w:val="superscript"/>
              </w:rPr>
              <w:t>2</w:t>
            </w:r>
          </w:p>
        </w:tc>
      </w:tr>
      <w:tr w:rsidR="00BD7136" w14:paraId="35286583" w14:textId="77777777" w:rsidTr="00865475">
        <w:trPr>
          <w:trHeight w:val="269"/>
        </w:trPr>
        <w:tc>
          <w:tcPr>
            <w:tcW w:w="2463" w:type="dxa"/>
            <w:vMerge/>
          </w:tcPr>
          <w:p w14:paraId="0D8A1FF8" w14:textId="77777777" w:rsidR="00BD7136" w:rsidRDefault="00BD7136" w:rsidP="00BD7136">
            <w:pPr>
              <w:jc w:val="both"/>
            </w:pPr>
          </w:p>
        </w:tc>
        <w:tc>
          <w:tcPr>
            <w:tcW w:w="2464" w:type="dxa"/>
            <w:vMerge/>
          </w:tcPr>
          <w:p w14:paraId="06F9175B" w14:textId="77777777" w:rsidR="00BD7136" w:rsidRDefault="00BD7136" w:rsidP="00BD7136">
            <w:pPr>
              <w:jc w:val="both"/>
            </w:pPr>
          </w:p>
        </w:tc>
        <w:tc>
          <w:tcPr>
            <w:tcW w:w="2463" w:type="dxa"/>
            <w:vAlign w:val="center"/>
          </w:tcPr>
          <w:p w14:paraId="1D01C29F" w14:textId="4007A450" w:rsidR="00BD7136" w:rsidRDefault="00BD7136" w:rsidP="00865475">
            <w:pPr>
              <w:jc w:val="right"/>
            </w:pPr>
            <w:r>
              <w:t>Fritidsfiskere (50%)</w:t>
            </w:r>
          </w:p>
        </w:tc>
        <w:tc>
          <w:tcPr>
            <w:tcW w:w="2464" w:type="dxa"/>
          </w:tcPr>
          <w:p w14:paraId="679408F4" w14:textId="77777777" w:rsidR="00BD7136" w:rsidRPr="00BD7136" w:rsidRDefault="00BD7136" w:rsidP="00865475">
            <w:pPr>
              <w:jc w:val="right"/>
              <w:rPr>
                <w:vertAlign w:val="superscript"/>
              </w:rPr>
            </w:pPr>
            <w:r>
              <w:t xml:space="preserve">50% </w:t>
            </w:r>
            <w:r>
              <w:rPr>
                <w:vertAlign w:val="superscript"/>
              </w:rPr>
              <w:t>2</w:t>
            </w:r>
          </w:p>
        </w:tc>
      </w:tr>
      <w:tr w:rsidR="00BD7136" w14:paraId="657F8381" w14:textId="77777777" w:rsidTr="00BD7136">
        <w:trPr>
          <w:trHeight w:val="269"/>
        </w:trPr>
        <w:tc>
          <w:tcPr>
            <w:tcW w:w="9854" w:type="dxa"/>
            <w:gridSpan w:val="4"/>
          </w:tcPr>
          <w:p w14:paraId="69CB2981" w14:textId="77777777" w:rsidR="00BD7136" w:rsidRDefault="00BD7136" w:rsidP="00BD7136">
            <w:pPr>
              <w:jc w:val="both"/>
            </w:pPr>
            <w:r>
              <w:rPr>
                <w:vertAlign w:val="superscript"/>
              </w:rPr>
              <w:t>1</w:t>
            </w:r>
            <w:r w:rsidRPr="00BD7136">
              <w:t xml:space="preserve"> %-vis fordeling </w:t>
            </w:r>
            <w:r>
              <w:t>af kvoten for Vestgrønland</w:t>
            </w:r>
          </w:p>
          <w:p w14:paraId="32042EAD" w14:textId="77777777" w:rsidR="00BD7136" w:rsidRPr="00BD7136" w:rsidRDefault="00BD7136" w:rsidP="00BD7136">
            <w:pPr>
              <w:jc w:val="both"/>
            </w:pPr>
            <w:r>
              <w:rPr>
                <w:vertAlign w:val="superscript"/>
              </w:rPr>
              <w:t>2</w:t>
            </w:r>
            <w:r>
              <w:t xml:space="preserve"> %-vis fordeling af kvoten for Østgrønland</w:t>
            </w:r>
          </w:p>
        </w:tc>
      </w:tr>
    </w:tbl>
    <w:p w14:paraId="03933F18" w14:textId="77777777" w:rsidR="00BD7136" w:rsidRPr="00BD7136" w:rsidRDefault="00BD7136" w:rsidP="00BD7136"/>
    <w:sectPr w:rsidR="00BD7136" w:rsidRPr="00BD7136" w:rsidSect="000D277A">
      <w:headerReference w:type="default" r:id="rId15"/>
      <w:footerReference w:type="default" r:id="rId16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86791" w14:textId="77777777" w:rsidR="00E43445" w:rsidRDefault="00E43445" w:rsidP="000A2EFD">
      <w:pPr>
        <w:spacing w:after="0" w:line="240" w:lineRule="auto"/>
      </w:pPr>
      <w:r>
        <w:separator/>
      </w:r>
    </w:p>
  </w:endnote>
  <w:endnote w:type="continuationSeparator" w:id="0">
    <w:p w14:paraId="13C01542" w14:textId="77777777" w:rsidR="00E43445" w:rsidRDefault="00E43445" w:rsidP="000A2EFD">
      <w:pPr>
        <w:spacing w:after="0" w:line="240" w:lineRule="auto"/>
      </w:pPr>
      <w:r>
        <w:continuationSeparator/>
      </w:r>
    </w:p>
  </w:endnote>
  <w:endnote w:type="continuationNotice" w:id="1">
    <w:p w14:paraId="484834BC" w14:textId="77777777" w:rsidR="00E43445" w:rsidRDefault="00E434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1293945"/>
      <w:docPartObj>
        <w:docPartGallery w:val="Page Numbers (Bottom of Page)"/>
        <w:docPartUnique/>
      </w:docPartObj>
    </w:sdtPr>
    <w:sdtEndPr/>
    <w:sdtContent>
      <w:p w14:paraId="6BCC283B" w14:textId="6806E882" w:rsidR="00485DA9" w:rsidRDefault="00485DA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9E78EEC" w14:textId="77777777" w:rsidR="00485DA9" w:rsidRDefault="00485DA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E1B89" w14:textId="77777777" w:rsidR="00E43445" w:rsidRDefault="00E43445" w:rsidP="000A2EFD">
      <w:pPr>
        <w:spacing w:after="0" w:line="240" w:lineRule="auto"/>
      </w:pPr>
      <w:r>
        <w:separator/>
      </w:r>
    </w:p>
  </w:footnote>
  <w:footnote w:type="continuationSeparator" w:id="0">
    <w:p w14:paraId="7867AFFF" w14:textId="77777777" w:rsidR="00E43445" w:rsidRDefault="00E43445" w:rsidP="000A2EFD">
      <w:pPr>
        <w:spacing w:after="0" w:line="240" w:lineRule="auto"/>
      </w:pPr>
      <w:r>
        <w:continuationSeparator/>
      </w:r>
    </w:p>
  </w:footnote>
  <w:footnote w:type="continuationNotice" w:id="1">
    <w:p w14:paraId="3D58AF93" w14:textId="77777777" w:rsidR="00E43445" w:rsidRDefault="00E43445">
      <w:pPr>
        <w:spacing w:after="0" w:line="240" w:lineRule="auto"/>
      </w:pPr>
    </w:p>
  </w:footnote>
  <w:footnote w:id="2">
    <w:p w14:paraId="56B8A1B0" w14:textId="6BD3560C" w:rsidR="00485DA9" w:rsidRPr="00544EE3" w:rsidRDefault="00485DA9" w:rsidP="00AB6A2A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544EE3">
        <w:rPr>
          <w:lang w:val="en-US"/>
        </w:rPr>
        <w:t xml:space="preserve"> </w:t>
      </w:r>
      <w:proofErr w:type="spellStart"/>
      <w:r>
        <w:rPr>
          <w:lang w:val="en-US"/>
        </w:rPr>
        <w:t>Havretskonventionen</w:t>
      </w:r>
      <w:proofErr w:type="spellEnd"/>
      <w:r>
        <w:rPr>
          <w:lang w:val="en-US"/>
        </w:rPr>
        <w:t>: United Nations Convention for the Law of the Sea (UNCLOS) §63</w:t>
      </w:r>
    </w:p>
  </w:footnote>
  <w:footnote w:id="3">
    <w:p w14:paraId="2C7DAF08" w14:textId="55A5B073" w:rsidR="00485DA9" w:rsidRPr="009258D8" w:rsidRDefault="00485DA9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9258D8">
        <w:rPr>
          <w:lang w:val="en-US"/>
        </w:rPr>
        <w:t xml:space="preserve"> </w:t>
      </w:r>
      <w:proofErr w:type="spellStart"/>
      <w:r w:rsidRPr="009258D8">
        <w:rPr>
          <w:lang w:val="en-US"/>
        </w:rPr>
        <w:t>Konventionen</w:t>
      </w:r>
      <w:proofErr w:type="spellEnd"/>
      <w:r w:rsidRPr="009258D8">
        <w:rPr>
          <w:lang w:val="en-US"/>
        </w:rPr>
        <w:t xml:space="preserve"> for </w:t>
      </w:r>
      <w:proofErr w:type="spellStart"/>
      <w:r w:rsidRPr="009258D8">
        <w:rPr>
          <w:lang w:val="en-US"/>
        </w:rPr>
        <w:t>bevarelse</w:t>
      </w:r>
      <w:proofErr w:type="spellEnd"/>
      <w:r w:rsidRPr="009258D8">
        <w:rPr>
          <w:lang w:val="en-US"/>
        </w:rPr>
        <w:t xml:space="preserve"> </w:t>
      </w:r>
      <w:proofErr w:type="spellStart"/>
      <w:r w:rsidRPr="009258D8">
        <w:rPr>
          <w:lang w:val="en-US"/>
        </w:rPr>
        <w:t>af</w:t>
      </w:r>
      <w:proofErr w:type="spellEnd"/>
      <w:r w:rsidRPr="009258D8">
        <w:rPr>
          <w:lang w:val="en-US"/>
        </w:rPr>
        <w:t xml:space="preserve"> </w:t>
      </w:r>
      <w:proofErr w:type="spellStart"/>
      <w:r w:rsidRPr="009258D8">
        <w:rPr>
          <w:lang w:val="en-US"/>
        </w:rPr>
        <w:t>laks</w:t>
      </w:r>
      <w:proofErr w:type="spellEnd"/>
      <w:r w:rsidRPr="009258D8">
        <w:rPr>
          <w:lang w:val="en-US"/>
        </w:rPr>
        <w:t xml:space="preserve"> </w:t>
      </w:r>
      <w:proofErr w:type="spellStart"/>
      <w:r w:rsidRPr="009258D8">
        <w:rPr>
          <w:lang w:val="en-US"/>
        </w:rPr>
        <w:t>i</w:t>
      </w:r>
      <w:proofErr w:type="spellEnd"/>
      <w:r w:rsidRPr="009258D8">
        <w:rPr>
          <w:lang w:val="en-US"/>
        </w:rPr>
        <w:t xml:space="preserve"> </w:t>
      </w:r>
      <w:proofErr w:type="spellStart"/>
      <w:r w:rsidRPr="009258D8">
        <w:rPr>
          <w:lang w:val="en-US"/>
        </w:rPr>
        <w:t>Nordatlanten</w:t>
      </w:r>
      <w:proofErr w:type="spellEnd"/>
      <w:r w:rsidRPr="009258D8">
        <w:rPr>
          <w:lang w:val="en-US"/>
        </w:rPr>
        <w:t xml:space="preserve"> (The Convention for the conservation of salmon in the North Atlantic</w:t>
      </w:r>
    </w:p>
  </w:footnote>
  <w:footnote w:id="4">
    <w:p w14:paraId="65513C56" w14:textId="1D25E87B" w:rsidR="00485DA9" w:rsidRPr="00DB125E" w:rsidRDefault="00485DA9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DB125E">
        <w:rPr>
          <w:lang w:val="en-US"/>
        </w:rPr>
        <w:t xml:space="preserve"> ICES Working Group on North Atlantic Salmon - WGNAS</w:t>
      </w:r>
    </w:p>
  </w:footnote>
  <w:footnote w:id="5">
    <w:p w14:paraId="4CE2FE11" w14:textId="499D3DE5" w:rsidR="00485DA9" w:rsidRDefault="00485DA9">
      <w:pPr>
        <w:pStyle w:val="Fodnotetekst"/>
      </w:pPr>
      <w:r>
        <w:rPr>
          <w:rStyle w:val="Fodnotehenvisning"/>
        </w:rPr>
        <w:footnoteRef/>
      </w:r>
      <w:r>
        <w:t xml:space="preserve"> Se bilag 2</w:t>
      </w:r>
    </w:p>
  </w:footnote>
  <w:footnote w:id="6">
    <w:p w14:paraId="398FDDE0" w14:textId="5CD40A2D" w:rsidR="00485DA9" w:rsidRDefault="00485DA9">
      <w:pPr>
        <w:pStyle w:val="Fodnotetekst"/>
      </w:pPr>
      <w:r>
        <w:rPr>
          <w:rStyle w:val="Fodnotehenvisning"/>
        </w:rPr>
        <w:footnoteRef/>
      </w:r>
      <w:r>
        <w:t xml:space="preserve"> Se bilag 3 for beregninger af fordeling mellem segmenter.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F73F2" w14:textId="4633DE90" w:rsidR="00485DA9" w:rsidRDefault="00485DA9" w:rsidP="000A2EFD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B7FCD"/>
    <w:multiLevelType w:val="hybridMultilevel"/>
    <w:tmpl w:val="703AED9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D312C"/>
    <w:multiLevelType w:val="multilevel"/>
    <w:tmpl w:val="8ACC2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8251B"/>
    <w:multiLevelType w:val="hybridMultilevel"/>
    <w:tmpl w:val="1D905EBE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5F91"/>
    <w:multiLevelType w:val="hybridMultilevel"/>
    <w:tmpl w:val="1A5CAE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4B0B"/>
    <w:multiLevelType w:val="multilevel"/>
    <w:tmpl w:val="8ACC2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F2E65"/>
    <w:multiLevelType w:val="hybridMultilevel"/>
    <w:tmpl w:val="40EABA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61281"/>
    <w:multiLevelType w:val="hybridMultilevel"/>
    <w:tmpl w:val="16503A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C4B85"/>
    <w:multiLevelType w:val="hybridMultilevel"/>
    <w:tmpl w:val="07C45608"/>
    <w:lvl w:ilvl="0" w:tplc="04060011">
      <w:start w:val="1"/>
      <w:numFmt w:val="decimal"/>
      <w:lvlText w:val="%1)"/>
      <w:lvlJc w:val="left"/>
      <w:pPr>
        <w:ind w:left="1530" w:hanging="360"/>
      </w:pPr>
    </w:lvl>
    <w:lvl w:ilvl="1" w:tplc="04060019" w:tentative="1">
      <w:start w:val="1"/>
      <w:numFmt w:val="lowerLetter"/>
      <w:lvlText w:val="%2."/>
      <w:lvlJc w:val="left"/>
      <w:pPr>
        <w:ind w:left="2250" w:hanging="360"/>
      </w:pPr>
    </w:lvl>
    <w:lvl w:ilvl="2" w:tplc="0406001B" w:tentative="1">
      <w:start w:val="1"/>
      <w:numFmt w:val="lowerRoman"/>
      <w:lvlText w:val="%3."/>
      <w:lvlJc w:val="right"/>
      <w:pPr>
        <w:ind w:left="2970" w:hanging="180"/>
      </w:pPr>
    </w:lvl>
    <w:lvl w:ilvl="3" w:tplc="0406000F" w:tentative="1">
      <w:start w:val="1"/>
      <w:numFmt w:val="decimal"/>
      <w:lvlText w:val="%4."/>
      <w:lvlJc w:val="left"/>
      <w:pPr>
        <w:ind w:left="3690" w:hanging="360"/>
      </w:pPr>
    </w:lvl>
    <w:lvl w:ilvl="4" w:tplc="04060019" w:tentative="1">
      <w:start w:val="1"/>
      <w:numFmt w:val="lowerLetter"/>
      <w:lvlText w:val="%5."/>
      <w:lvlJc w:val="left"/>
      <w:pPr>
        <w:ind w:left="4410" w:hanging="360"/>
      </w:pPr>
    </w:lvl>
    <w:lvl w:ilvl="5" w:tplc="0406001B" w:tentative="1">
      <w:start w:val="1"/>
      <w:numFmt w:val="lowerRoman"/>
      <w:lvlText w:val="%6."/>
      <w:lvlJc w:val="right"/>
      <w:pPr>
        <w:ind w:left="5130" w:hanging="180"/>
      </w:pPr>
    </w:lvl>
    <w:lvl w:ilvl="6" w:tplc="0406000F" w:tentative="1">
      <w:start w:val="1"/>
      <w:numFmt w:val="decimal"/>
      <w:lvlText w:val="%7."/>
      <w:lvlJc w:val="left"/>
      <w:pPr>
        <w:ind w:left="5850" w:hanging="360"/>
      </w:pPr>
    </w:lvl>
    <w:lvl w:ilvl="7" w:tplc="04060019" w:tentative="1">
      <w:start w:val="1"/>
      <w:numFmt w:val="lowerLetter"/>
      <w:lvlText w:val="%8."/>
      <w:lvlJc w:val="left"/>
      <w:pPr>
        <w:ind w:left="6570" w:hanging="360"/>
      </w:pPr>
    </w:lvl>
    <w:lvl w:ilvl="8" w:tplc="040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4E478A1"/>
    <w:multiLevelType w:val="multilevel"/>
    <w:tmpl w:val="96FE04D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8940314"/>
    <w:multiLevelType w:val="hybridMultilevel"/>
    <w:tmpl w:val="554EEB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00F91"/>
    <w:multiLevelType w:val="multilevel"/>
    <w:tmpl w:val="001231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6923E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2C2385"/>
    <w:multiLevelType w:val="hybridMultilevel"/>
    <w:tmpl w:val="B4AEE7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D3AFA"/>
    <w:multiLevelType w:val="hybridMultilevel"/>
    <w:tmpl w:val="A06828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93739"/>
    <w:multiLevelType w:val="hybridMultilevel"/>
    <w:tmpl w:val="678E264C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2F46A41"/>
    <w:multiLevelType w:val="hybridMultilevel"/>
    <w:tmpl w:val="3094F9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37B1B"/>
    <w:multiLevelType w:val="multilevel"/>
    <w:tmpl w:val="01E29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4317EF0"/>
    <w:multiLevelType w:val="multilevel"/>
    <w:tmpl w:val="001231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9DB4E56"/>
    <w:multiLevelType w:val="hybridMultilevel"/>
    <w:tmpl w:val="E9945960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AD95565"/>
    <w:multiLevelType w:val="hybridMultilevel"/>
    <w:tmpl w:val="9AD0BF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95A10"/>
    <w:multiLevelType w:val="multilevel"/>
    <w:tmpl w:val="01E29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1B50330"/>
    <w:multiLevelType w:val="hybridMultilevel"/>
    <w:tmpl w:val="0BC4A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D00DA"/>
    <w:multiLevelType w:val="multilevel"/>
    <w:tmpl w:val="040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43281118"/>
    <w:multiLevelType w:val="hybridMultilevel"/>
    <w:tmpl w:val="E3C0F036"/>
    <w:lvl w:ilvl="0" w:tplc="04060011">
      <w:start w:val="1"/>
      <w:numFmt w:val="decimal"/>
      <w:lvlText w:val="%1)"/>
      <w:lvlJc w:val="left"/>
      <w:pPr>
        <w:ind w:left="1530" w:hanging="360"/>
      </w:pPr>
    </w:lvl>
    <w:lvl w:ilvl="1" w:tplc="04060019" w:tentative="1">
      <w:start w:val="1"/>
      <w:numFmt w:val="lowerLetter"/>
      <w:lvlText w:val="%2."/>
      <w:lvlJc w:val="left"/>
      <w:pPr>
        <w:ind w:left="2250" w:hanging="360"/>
      </w:pPr>
    </w:lvl>
    <w:lvl w:ilvl="2" w:tplc="0406001B" w:tentative="1">
      <w:start w:val="1"/>
      <w:numFmt w:val="lowerRoman"/>
      <w:lvlText w:val="%3."/>
      <w:lvlJc w:val="right"/>
      <w:pPr>
        <w:ind w:left="2970" w:hanging="180"/>
      </w:pPr>
    </w:lvl>
    <w:lvl w:ilvl="3" w:tplc="0406000F" w:tentative="1">
      <w:start w:val="1"/>
      <w:numFmt w:val="decimal"/>
      <w:lvlText w:val="%4."/>
      <w:lvlJc w:val="left"/>
      <w:pPr>
        <w:ind w:left="3690" w:hanging="360"/>
      </w:pPr>
    </w:lvl>
    <w:lvl w:ilvl="4" w:tplc="04060019" w:tentative="1">
      <w:start w:val="1"/>
      <w:numFmt w:val="lowerLetter"/>
      <w:lvlText w:val="%5."/>
      <w:lvlJc w:val="left"/>
      <w:pPr>
        <w:ind w:left="4410" w:hanging="360"/>
      </w:pPr>
    </w:lvl>
    <w:lvl w:ilvl="5" w:tplc="0406001B" w:tentative="1">
      <w:start w:val="1"/>
      <w:numFmt w:val="lowerRoman"/>
      <w:lvlText w:val="%6."/>
      <w:lvlJc w:val="right"/>
      <w:pPr>
        <w:ind w:left="5130" w:hanging="180"/>
      </w:pPr>
    </w:lvl>
    <w:lvl w:ilvl="6" w:tplc="0406000F" w:tentative="1">
      <w:start w:val="1"/>
      <w:numFmt w:val="decimal"/>
      <w:lvlText w:val="%7."/>
      <w:lvlJc w:val="left"/>
      <w:pPr>
        <w:ind w:left="5850" w:hanging="360"/>
      </w:pPr>
    </w:lvl>
    <w:lvl w:ilvl="7" w:tplc="04060019" w:tentative="1">
      <w:start w:val="1"/>
      <w:numFmt w:val="lowerLetter"/>
      <w:lvlText w:val="%8."/>
      <w:lvlJc w:val="left"/>
      <w:pPr>
        <w:ind w:left="6570" w:hanging="360"/>
      </w:pPr>
    </w:lvl>
    <w:lvl w:ilvl="8" w:tplc="040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4491206E"/>
    <w:multiLevelType w:val="multilevel"/>
    <w:tmpl w:val="41ACF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6E5100"/>
    <w:multiLevelType w:val="hybridMultilevel"/>
    <w:tmpl w:val="8ACC2F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7312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065F0A"/>
    <w:multiLevelType w:val="hybridMultilevel"/>
    <w:tmpl w:val="B7FE15AC"/>
    <w:lvl w:ilvl="0" w:tplc="040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AC065D"/>
    <w:multiLevelType w:val="hybridMultilevel"/>
    <w:tmpl w:val="91F01212"/>
    <w:lvl w:ilvl="0" w:tplc="0406000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</w:abstractNum>
  <w:abstractNum w:abstractNumId="29" w15:restartNumberingAfterBreak="0">
    <w:nsid w:val="4AA97BC9"/>
    <w:multiLevelType w:val="multilevel"/>
    <w:tmpl w:val="01E29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DFF6ADC"/>
    <w:multiLevelType w:val="multilevel"/>
    <w:tmpl w:val="01E29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0DF44F6"/>
    <w:multiLevelType w:val="hybridMultilevel"/>
    <w:tmpl w:val="48A40DF0"/>
    <w:lvl w:ilvl="0" w:tplc="04060015">
      <w:start w:val="1"/>
      <w:numFmt w:val="upperLetter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1D5983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6651D1"/>
    <w:multiLevelType w:val="hybridMultilevel"/>
    <w:tmpl w:val="07FCA4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0352D"/>
    <w:multiLevelType w:val="multilevel"/>
    <w:tmpl w:val="01E29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8213643"/>
    <w:multiLevelType w:val="hybridMultilevel"/>
    <w:tmpl w:val="EFF4F81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154BE0"/>
    <w:multiLevelType w:val="hybridMultilevel"/>
    <w:tmpl w:val="F1EA5EE2"/>
    <w:lvl w:ilvl="0" w:tplc="C09CD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16A9C"/>
    <w:multiLevelType w:val="hybridMultilevel"/>
    <w:tmpl w:val="48E26048"/>
    <w:lvl w:ilvl="0" w:tplc="04060015">
      <w:start w:val="1"/>
      <w:numFmt w:val="upp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C93865"/>
    <w:multiLevelType w:val="hybridMultilevel"/>
    <w:tmpl w:val="AB3C97CC"/>
    <w:lvl w:ilvl="0" w:tplc="08A02D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86A4F"/>
    <w:multiLevelType w:val="hybridMultilevel"/>
    <w:tmpl w:val="5DFAC11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A136B"/>
    <w:multiLevelType w:val="hybridMultilevel"/>
    <w:tmpl w:val="376CA5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E0E5F"/>
    <w:multiLevelType w:val="hybridMultilevel"/>
    <w:tmpl w:val="14B60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54DC6"/>
    <w:multiLevelType w:val="hybridMultilevel"/>
    <w:tmpl w:val="C93EC28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65B9A"/>
    <w:multiLevelType w:val="multilevel"/>
    <w:tmpl w:val="01E29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9063F9E"/>
    <w:multiLevelType w:val="hybridMultilevel"/>
    <w:tmpl w:val="8CF28F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3487D"/>
    <w:multiLevelType w:val="multilevel"/>
    <w:tmpl w:val="01E29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7C423FBC"/>
    <w:multiLevelType w:val="hybridMultilevel"/>
    <w:tmpl w:val="9A3687BA"/>
    <w:lvl w:ilvl="0" w:tplc="3D2C21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251AA"/>
    <w:multiLevelType w:val="hybridMultilevel"/>
    <w:tmpl w:val="5C56BA8A"/>
    <w:lvl w:ilvl="0" w:tplc="04060015">
      <w:start w:val="1"/>
      <w:numFmt w:val="upp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DF2E35"/>
    <w:multiLevelType w:val="hybridMultilevel"/>
    <w:tmpl w:val="C514058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7"/>
  </w:num>
  <w:num w:numId="3">
    <w:abstractNumId w:val="48"/>
  </w:num>
  <w:num w:numId="4">
    <w:abstractNumId w:val="35"/>
  </w:num>
  <w:num w:numId="5">
    <w:abstractNumId w:val="31"/>
  </w:num>
  <w:num w:numId="6">
    <w:abstractNumId w:val="2"/>
  </w:num>
  <w:num w:numId="7">
    <w:abstractNumId w:val="9"/>
  </w:num>
  <w:num w:numId="8">
    <w:abstractNumId w:val="47"/>
  </w:num>
  <w:num w:numId="9">
    <w:abstractNumId w:val="37"/>
  </w:num>
  <w:num w:numId="10">
    <w:abstractNumId w:val="39"/>
  </w:num>
  <w:num w:numId="11">
    <w:abstractNumId w:val="42"/>
  </w:num>
  <w:num w:numId="12">
    <w:abstractNumId w:val="29"/>
  </w:num>
  <w:num w:numId="13">
    <w:abstractNumId w:val="45"/>
  </w:num>
  <w:num w:numId="14">
    <w:abstractNumId w:val="16"/>
  </w:num>
  <w:num w:numId="15">
    <w:abstractNumId w:val="5"/>
  </w:num>
  <w:num w:numId="16">
    <w:abstractNumId w:val="40"/>
  </w:num>
  <w:num w:numId="17">
    <w:abstractNumId w:val="0"/>
  </w:num>
  <w:num w:numId="18">
    <w:abstractNumId w:val="41"/>
  </w:num>
  <w:num w:numId="19">
    <w:abstractNumId w:val="30"/>
  </w:num>
  <w:num w:numId="20">
    <w:abstractNumId w:val="25"/>
  </w:num>
  <w:num w:numId="21">
    <w:abstractNumId w:val="4"/>
  </w:num>
  <w:num w:numId="22">
    <w:abstractNumId w:val="1"/>
  </w:num>
  <w:num w:numId="23">
    <w:abstractNumId w:val="22"/>
  </w:num>
  <w:num w:numId="24">
    <w:abstractNumId w:val="32"/>
  </w:num>
  <w:num w:numId="25">
    <w:abstractNumId w:val="26"/>
  </w:num>
  <w:num w:numId="26">
    <w:abstractNumId w:val="17"/>
  </w:num>
  <w:num w:numId="27">
    <w:abstractNumId w:val="10"/>
  </w:num>
  <w:num w:numId="28">
    <w:abstractNumId w:val="24"/>
  </w:num>
  <w:num w:numId="29">
    <w:abstractNumId w:val="3"/>
  </w:num>
  <w:num w:numId="30">
    <w:abstractNumId w:val="46"/>
  </w:num>
  <w:num w:numId="31">
    <w:abstractNumId w:val="43"/>
  </w:num>
  <w:num w:numId="32">
    <w:abstractNumId w:val="11"/>
  </w:num>
  <w:num w:numId="33">
    <w:abstractNumId w:val="12"/>
  </w:num>
  <w:num w:numId="34">
    <w:abstractNumId w:val="19"/>
  </w:num>
  <w:num w:numId="35">
    <w:abstractNumId w:val="6"/>
  </w:num>
  <w:num w:numId="36">
    <w:abstractNumId w:val="13"/>
  </w:num>
  <w:num w:numId="37">
    <w:abstractNumId w:val="33"/>
  </w:num>
  <w:num w:numId="38">
    <w:abstractNumId w:val="34"/>
  </w:num>
  <w:num w:numId="39">
    <w:abstractNumId w:val="8"/>
  </w:num>
  <w:num w:numId="40">
    <w:abstractNumId w:val="28"/>
  </w:num>
  <w:num w:numId="41">
    <w:abstractNumId w:val="21"/>
  </w:num>
  <w:num w:numId="42">
    <w:abstractNumId w:val="44"/>
  </w:num>
  <w:num w:numId="43">
    <w:abstractNumId w:val="36"/>
  </w:num>
  <w:num w:numId="44">
    <w:abstractNumId w:val="14"/>
  </w:num>
  <w:num w:numId="45">
    <w:abstractNumId w:val="18"/>
  </w:num>
  <w:num w:numId="46">
    <w:abstractNumId w:val="7"/>
  </w:num>
  <w:num w:numId="47">
    <w:abstractNumId w:val="23"/>
  </w:num>
  <w:num w:numId="48">
    <w:abstractNumId w:val="1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1B5"/>
    <w:rsid w:val="00000FE1"/>
    <w:rsid w:val="0000219D"/>
    <w:rsid w:val="00003097"/>
    <w:rsid w:val="0000400D"/>
    <w:rsid w:val="0000496A"/>
    <w:rsid w:val="00005DDA"/>
    <w:rsid w:val="00006A5C"/>
    <w:rsid w:val="00006DCB"/>
    <w:rsid w:val="0000792D"/>
    <w:rsid w:val="00012BD0"/>
    <w:rsid w:val="00012EDC"/>
    <w:rsid w:val="00014576"/>
    <w:rsid w:val="0002091C"/>
    <w:rsid w:val="000217DA"/>
    <w:rsid w:val="00023265"/>
    <w:rsid w:val="00023B0A"/>
    <w:rsid w:val="000256A2"/>
    <w:rsid w:val="000311D9"/>
    <w:rsid w:val="00031646"/>
    <w:rsid w:val="0003256D"/>
    <w:rsid w:val="00032D9E"/>
    <w:rsid w:val="00032F72"/>
    <w:rsid w:val="00033F49"/>
    <w:rsid w:val="00040461"/>
    <w:rsid w:val="00040F1D"/>
    <w:rsid w:val="00041046"/>
    <w:rsid w:val="00044DA8"/>
    <w:rsid w:val="00045797"/>
    <w:rsid w:val="0004642C"/>
    <w:rsid w:val="0004722D"/>
    <w:rsid w:val="00051283"/>
    <w:rsid w:val="0005355D"/>
    <w:rsid w:val="00057665"/>
    <w:rsid w:val="00061764"/>
    <w:rsid w:val="000622E2"/>
    <w:rsid w:val="000631CC"/>
    <w:rsid w:val="000658E9"/>
    <w:rsid w:val="00065D02"/>
    <w:rsid w:val="0006626F"/>
    <w:rsid w:val="0006710D"/>
    <w:rsid w:val="00070426"/>
    <w:rsid w:val="00072A37"/>
    <w:rsid w:val="00073977"/>
    <w:rsid w:val="00074AFC"/>
    <w:rsid w:val="0007598D"/>
    <w:rsid w:val="00081C72"/>
    <w:rsid w:val="00082977"/>
    <w:rsid w:val="00084345"/>
    <w:rsid w:val="00086E06"/>
    <w:rsid w:val="000962C6"/>
    <w:rsid w:val="00096F54"/>
    <w:rsid w:val="0009707B"/>
    <w:rsid w:val="000975A9"/>
    <w:rsid w:val="000A0573"/>
    <w:rsid w:val="000A0868"/>
    <w:rsid w:val="000A0881"/>
    <w:rsid w:val="000A1BA0"/>
    <w:rsid w:val="000A1E35"/>
    <w:rsid w:val="000A2EFD"/>
    <w:rsid w:val="000A6172"/>
    <w:rsid w:val="000A6B94"/>
    <w:rsid w:val="000B205D"/>
    <w:rsid w:val="000B3331"/>
    <w:rsid w:val="000B3561"/>
    <w:rsid w:val="000B4707"/>
    <w:rsid w:val="000B5FE8"/>
    <w:rsid w:val="000C1234"/>
    <w:rsid w:val="000C1BCE"/>
    <w:rsid w:val="000C3BDB"/>
    <w:rsid w:val="000C41AF"/>
    <w:rsid w:val="000C4AA3"/>
    <w:rsid w:val="000C64BE"/>
    <w:rsid w:val="000C7825"/>
    <w:rsid w:val="000C78CB"/>
    <w:rsid w:val="000D0378"/>
    <w:rsid w:val="000D0E45"/>
    <w:rsid w:val="000D13B1"/>
    <w:rsid w:val="000D1B7A"/>
    <w:rsid w:val="000D277A"/>
    <w:rsid w:val="000D2959"/>
    <w:rsid w:val="000D2F8F"/>
    <w:rsid w:val="000D4BE2"/>
    <w:rsid w:val="000D743F"/>
    <w:rsid w:val="000E1DF1"/>
    <w:rsid w:val="000F22F5"/>
    <w:rsid w:val="000F25B9"/>
    <w:rsid w:val="000F3C34"/>
    <w:rsid w:val="000F53F2"/>
    <w:rsid w:val="00103A0B"/>
    <w:rsid w:val="001058B4"/>
    <w:rsid w:val="00106406"/>
    <w:rsid w:val="00110592"/>
    <w:rsid w:val="001121EC"/>
    <w:rsid w:val="00115833"/>
    <w:rsid w:val="00115F62"/>
    <w:rsid w:val="00121802"/>
    <w:rsid w:val="001305E9"/>
    <w:rsid w:val="00131A02"/>
    <w:rsid w:val="00133000"/>
    <w:rsid w:val="0013342C"/>
    <w:rsid w:val="001439A7"/>
    <w:rsid w:val="00145FFA"/>
    <w:rsid w:val="001462C6"/>
    <w:rsid w:val="0015086C"/>
    <w:rsid w:val="00150899"/>
    <w:rsid w:val="00154369"/>
    <w:rsid w:val="00155355"/>
    <w:rsid w:val="001557A5"/>
    <w:rsid w:val="00155B18"/>
    <w:rsid w:val="00156185"/>
    <w:rsid w:val="00157412"/>
    <w:rsid w:val="00157463"/>
    <w:rsid w:val="00160C0B"/>
    <w:rsid w:val="00162E16"/>
    <w:rsid w:val="00164872"/>
    <w:rsid w:val="00165298"/>
    <w:rsid w:val="001652B1"/>
    <w:rsid w:val="0016614F"/>
    <w:rsid w:val="001663A0"/>
    <w:rsid w:val="00166781"/>
    <w:rsid w:val="00167778"/>
    <w:rsid w:val="00170212"/>
    <w:rsid w:val="0017071A"/>
    <w:rsid w:val="001715B7"/>
    <w:rsid w:val="001715DE"/>
    <w:rsid w:val="001769E8"/>
    <w:rsid w:val="001776F0"/>
    <w:rsid w:val="00177849"/>
    <w:rsid w:val="00180C36"/>
    <w:rsid w:val="00181527"/>
    <w:rsid w:val="001816F0"/>
    <w:rsid w:val="00181E76"/>
    <w:rsid w:val="0018368F"/>
    <w:rsid w:val="0018381A"/>
    <w:rsid w:val="00183DA8"/>
    <w:rsid w:val="0018417B"/>
    <w:rsid w:val="00184AEA"/>
    <w:rsid w:val="0018617D"/>
    <w:rsid w:val="001868B9"/>
    <w:rsid w:val="001905B1"/>
    <w:rsid w:val="001915A6"/>
    <w:rsid w:val="00193BB8"/>
    <w:rsid w:val="00194BAA"/>
    <w:rsid w:val="00195486"/>
    <w:rsid w:val="00197A2B"/>
    <w:rsid w:val="001A47FA"/>
    <w:rsid w:val="001A488D"/>
    <w:rsid w:val="001A5480"/>
    <w:rsid w:val="001A69B2"/>
    <w:rsid w:val="001A6DCE"/>
    <w:rsid w:val="001B0EF1"/>
    <w:rsid w:val="001B1464"/>
    <w:rsid w:val="001B4569"/>
    <w:rsid w:val="001B457A"/>
    <w:rsid w:val="001B460A"/>
    <w:rsid w:val="001B56C5"/>
    <w:rsid w:val="001B7187"/>
    <w:rsid w:val="001B7A71"/>
    <w:rsid w:val="001C0EE9"/>
    <w:rsid w:val="001C2E86"/>
    <w:rsid w:val="001C3157"/>
    <w:rsid w:val="001C47A8"/>
    <w:rsid w:val="001C4F95"/>
    <w:rsid w:val="001C711D"/>
    <w:rsid w:val="001C7361"/>
    <w:rsid w:val="001D0275"/>
    <w:rsid w:val="001D2718"/>
    <w:rsid w:val="001D4868"/>
    <w:rsid w:val="001D5E89"/>
    <w:rsid w:val="001D7DB6"/>
    <w:rsid w:val="001E136C"/>
    <w:rsid w:val="001E2EC3"/>
    <w:rsid w:val="001E3F27"/>
    <w:rsid w:val="001E4977"/>
    <w:rsid w:val="001E4A22"/>
    <w:rsid w:val="001F117D"/>
    <w:rsid w:val="001F17EE"/>
    <w:rsid w:val="001F2680"/>
    <w:rsid w:val="001F2B0C"/>
    <w:rsid w:val="001F2B36"/>
    <w:rsid w:val="001F470B"/>
    <w:rsid w:val="001F6A99"/>
    <w:rsid w:val="0020189F"/>
    <w:rsid w:val="0020314F"/>
    <w:rsid w:val="00207585"/>
    <w:rsid w:val="00207700"/>
    <w:rsid w:val="00210A5B"/>
    <w:rsid w:val="00211F22"/>
    <w:rsid w:val="00213B4F"/>
    <w:rsid w:val="00213D71"/>
    <w:rsid w:val="00214CC7"/>
    <w:rsid w:val="00215BCA"/>
    <w:rsid w:val="00216692"/>
    <w:rsid w:val="0021787F"/>
    <w:rsid w:val="002203CE"/>
    <w:rsid w:val="0022055D"/>
    <w:rsid w:val="002207BD"/>
    <w:rsid w:val="0022124C"/>
    <w:rsid w:val="00221848"/>
    <w:rsid w:val="002218F6"/>
    <w:rsid w:val="00222263"/>
    <w:rsid w:val="002244C0"/>
    <w:rsid w:val="00226E8D"/>
    <w:rsid w:val="00231599"/>
    <w:rsid w:val="00233899"/>
    <w:rsid w:val="00235076"/>
    <w:rsid w:val="00235385"/>
    <w:rsid w:val="00236D65"/>
    <w:rsid w:val="0023740E"/>
    <w:rsid w:val="00240001"/>
    <w:rsid w:val="0024070D"/>
    <w:rsid w:val="00242BA3"/>
    <w:rsid w:val="00244B0F"/>
    <w:rsid w:val="002457CB"/>
    <w:rsid w:val="00246A63"/>
    <w:rsid w:val="0025048E"/>
    <w:rsid w:val="00254AC4"/>
    <w:rsid w:val="00254F45"/>
    <w:rsid w:val="0025714B"/>
    <w:rsid w:val="00257174"/>
    <w:rsid w:val="0025783A"/>
    <w:rsid w:val="00257DFC"/>
    <w:rsid w:val="00263D54"/>
    <w:rsid w:val="00265235"/>
    <w:rsid w:val="00265370"/>
    <w:rsid w:val="00267713"/>
    <w:rsid w:val="00267856"/>
    <w:rsid w:val="00267B65"/>
    <w:rsid w:val="002706DE"/>
    <w:rsid w:val="002718F1"/>
    <w:rsid w:val="00272238"/>
    <w:rsid w:val="00276711"/>
    <w:rsid w:val="00276BB3"/>
    <w:rsid w:val="00280535"/>
    <w:rsid w:val="0028092A"/>
    <w:rsid w:val="00284C52"/>
    <w:rsid w:val="00285688"/>
    <w:rsid w:val="002861B5"/>
    <w:rsid w:val="00286FE6"/>
    <w:rsid w:val="00287772"/>
    <w:rsid w:val="00293928"/>
    <w:rsid w:val="00293C28"/>
    <w:rsid w:val="00294415"/>
    <w:rsid w:val="002A0067"/>
    <w:rsid w:val="002A1CD3"/>
    <w:rsid w:val="002A1E12"/>
    <w:rsid w:val="002A26D1"/>
    <w:rsid w:val="002A2A10"/>
    <w:rsid w:val="002A3C46"/>
    <w:rsid w:val="002A5EF4"/>
    <w:rsid w:val="002B03F9"/>
    <w:rsid w:val="002B2280"/>
    <w:rsid w:val="002B5B98"/>
    <w:rsid w:val="002B654C"/>
    <w:rsid w:val="002B659C"/>
    <w:rsid w:val="002C4B01"/>
    <w:rsid w:val="002C5E6E"/>
    <w:rsid w:val="002C698D"/>
    <w:rsid w:val="002C7BE6"/>
    <w:rsid w:val="002C7DDA"/>
    <w:rsid w:val="002D0DC6"/>
    <w:rsid w:val="002D1797"/>
    <w:rsid w:val="002D1FF5"/>
    <w:rsid w:val="002D57FC"/>
    <w:rsid w:val="002D6B62"/>
    <w:rsid w:val="002D6E66"/>
    <w:rsid w:val="002D789B"/>
    <w:rsid w:val="002D7F5D"/>
    <w:rsid w:val="002E02C2"/>
    <w:rsid w:val="002E0308"/>
    <w:rsid w:val="002E1122"/>
    <w:rsid w:val="002E1F95"/>
    <w:rsid w:val="002E22AB"/>
    <w:rsid w:val="002E33E8"/>
    <w:rsid w:val="002E3B16"/>
    <w:rsid w:val="002E65CA"/>
    <w:rsid w:val="002E66F6"/>
    <w:rsid w:val="002E7C47"/>
    <w:rsid w:val="002F029B"/>
    <w:rsid w:val="002F04E9"/>
    <w:rsid w:val="002F074E"/>
    <w:rsid w:val="002F0841"/>
    <w:rsid w:val="002F2AC6"/>
    <w:rsid w:val="00303F79"/>
    <w:rsid w:val="00304878"/>
    <w:rsid w:val="00304FD3"/>
    <w:rsid w:val="00305A33"/>
    <w:rsid w:val="00306352"/>
    <w:rsid w:val="0030669E"/>
    <w:rsid w:val="003072D7"/>
    <w:rsid w:val="00307304"/>
    <w:rsid w:val="00311569"/>
    <w:rsid w:val="0031252E"/>
    <w:rsid w:val="00312BD9"/>
    <w:rsid w:val="003219B3"/>
    <w:rsid w:val="00322E75"/>
    <w:rsid w:val="0032464C"/>
    <w:rsid w:val="00324FA8"/>
    <w:rsid w:val="00327697"/>
    <w:rsid w:val="003276EF"/>
    <w:rsid w:val="00327815"/>
    <w:rsid w:val="00330F50"/>
    <w:rsid w:val="0033153C"/>
    <w:rsid w:val="00333196"/>
    <w:rsid w:val="00334916"/>
    <w:rsid w:val="003363B9"/>
    <w:rsid w:val="00337F3E"/>
    <w:rsid w:val="00342C12"/>
    <w:rsid w:val="00346CB4"/>
    <w:rsid w:val="003504F5"/>
    <w:rsid w:val="003512D2"/>
    <w:rsid w:val="00353487"/>
    <w:rsid w:val="00355D30"/>
    <w:rsid w:val="00355DC4"/>
    <w:rsid w:val="00366055"/>
    <w:rsid w:val="003668DE"/>
    <w:rsid w:val="00367E2F"/>
    <w:rsid w:val="003744F0"/>
    <w:rsid w:val="0037550E"/>
    <w:rsid w:val="00377B6E"/>
    <w:rsid w:val="0038118F"/>
    <w:rsid w:val="003816C9"/>
    <w:rsid w:val="00381BBB"/>
    <w:rsid w:val="00382542"/>
    <w:rsid w:val="0038385E"/>
    <w:rsid w:val="00384D53"/>
    <w:rsid w:val="00385D44"/>
    <w:rsid w:val="0038615A"/>
    <w:rsid w:val="0039264B"/>
    <w:rsid w:val="00393E72"/>
    <w:rsid w:val="0039559A"/>
    <w:rsid w:val="0039685F"/>
    <w:rsid w:val="00396A1A"/>
    <w:rsid w:val="003A2F73"/>
    <w:rsid w:val="003A3E89"/>
    <w:rsid w:val="003A777C"/>
    <w:rsid w:val="003B0594"/>
    <w:rsid w:val="003B29BB"/>
    <w:rsid w:val="003B433D"/>
    <w:rsid w:val="003B4EA9"/>
    <w:rsid w:val="003B51F5"/>
    <w:rsid w:val="003B52AC"/>
    <w:rsid w:val="003B5ADD"/>
    <w:rsid w:val="003B664A"/>
    <w:rsid w:val="003B6AE8"/>
    <w:rsid w:val="003C0E3B"/>
    <w:rsid w:val="003C42E6"/>
    <w:rsid w:val="003C4670"/>
    <w:rsid w:val="003C4F4B"/>
    <w:rsid w:val="003C64D4"/>
    <w:rsid w:val="003C67D5"/>
    <w:rsid w:val="003D10FD"/>
    <w:rsid w:val="003D3B12"/>
    <w:rsid w:val="003D5233"/>
    <w:rsid w:val="003D52D4"/>
    <w:rsid w:val="003D580A"/>
    <w:rsid w:val="003D6483"/>
    <w:rsid w:val="003E0B0F"/>
    <w:rsid w:val="003E365F"/>
    <w:rsid w:val="003E48AF"/>
    <w:rsid w:val="003E5812"/>
    <w:rsid w:val="003E6C27"/>
    <w:rsid w:val="003F2BD1"/>
    <w:rsid w:val="003F315C"/>
    <w:rsid w:val="003F4641"/>
    <w:rsid w:val="003F57F8"/>
    <w:rsid w:val="003F6789"/>
    <w:rsid w:val="00402824"/>
    <w:rsid w:val="00407347"/>
    <w:rsid w:val="0041089C"/>
    <w:rsid w:val="004133EA"/>
    <w:rsid w:val="004151E5"/>
    <w:rsid w:val="00416665"/>
    <w:rsid w:val="00417192"/>
    <w:rsid w:val="004222DC"/>
    <w:rsid w:val="00423632"/>
    <w:rsid w:val="00424596"/>
    <w:rsid w:val="00424612"/>
    <w:rsid w:val="00424C4B"/>
    <w:rsid w:val="00424C69"/>
    <w:rsid w:val="00424F7D"/>
    <w:rsid w:val="00425CB0"/>
    <w:rsid w:val="004275BF"/>
    <w:rsid w:val="00430865"/>
    <w:rsid w:val="0043115E"/>
    <w:rsid w:val="0043347C"/>
    <w:rsid w:val="0043351B"/>
    <w:rsid w:val="00433A24"/>
    <w:rsid w:val="00441B30"/>
    <w:rsid w:val="004431CA"/>
    <w:rsid w:val="0045006F"/>
    <w:rsid w:val="00451A6F"/>
    <w:rsid w:val="004538BE"/>
    <w:rsid w:val="00453D77"/>
    <w:rsid w:val="00453E59"/>
    <w:rsid w:val="0046069F"/>
    <w:rsid w:val="00464228"/>
    <w:rsid w:val="004649D2"/>
    <w:rsid w:val="00466589"/>
    <w:rsid w:val="00470654"/>
    <w:rsid w:val="00471008"/>
    <w:rsid w:val="0047106B"/>
    <w:rsid w:val="00475462"/>
    <w:rsid w:val="0048080E"/>
    <w:rsid w:val="00482391"/>
    <w:rsid w:val="00483E79"/>
    <w:rsid w:val="00485108"/>
    <w:rsid w:val="00485DA9"/>
    <w:rsid w:val="00485F3D"/>
    <w:rsid w:val="00487EF5"/>
    <w:rsid w:val="0049499C"/>
    <w:rsid w:val="00495818"/>
    <w:rsid w:val="004A1130"/>
    <w:rsid w:val="004A1EBA"/>
    <w:rsid w:val="004A2AF7"/>
    <w:rsid w:val="004A4491"/>
    <w:rsid w:val="004A4BDD"/>
    <w:rsid w:val="004A6979"/>
    <w:rsid w:val="004B1914"/>
    <w:rsid w:val="004B5BBA"/>
    <w:rsid w:val="004B6230"/>
    <w:rsid w:val="004B71A2"/>
    <w:rsid w:val="004B75DC"/>
    <w:rsid w:val="004C019D"/>
    <w:rsid w:val="004C20C7"/>
    <w:rsid w:val="004C2E1D"/>
    <w:rsid w:val="004C332D"/>
    <w:rsid w:val="004C3443"/>
    <w:rsid w:val="004C3699"/>
    <w:rsid w:val="004D1652"/>
    <w:rsid w:val="004D1F26"/>
    <w:rsid w:val="004D60CE"/>
    <w:rsid w:val="004E111B"/>
    <w:rsid w:val="004E3941"/>
    <w:rsid w:val="004E3A1F"/>
    <w:rsid w:val="004E4F22"/>
    <w:rsid w:val="004E55A4"/>
    <w:rsid w:val="004E6630"/>
    <w:rsid w:val="004E6D35"/>
    <w:rsid w:val="004E747B"/>
    <w:rsid w:val="004F1D8A"/>
    <w:rsid w:val="004F245E"/>
    <w:rsid w:val="004F47A6"/>
    <w:rsid w:val="004F5B89"/>
    <w:rsid w:val="005000BF"/>
    <w:rsid w:val="0050055F"/>
    <w:rsid w:val="0050126D"/>
    <w:rsid w:val="00502299"/>
    <w:rsid w:val="00502D12"/>
    <w:rsid w:val="00504899"/>
    <w:rsid w:val="00505B23"/>
    <w:rsid w:val="005101E3"/>
    <w:rsid w:val="0051295E"/>
    <w:rsid w:val="0051305E"/>
    <w:rsid w:val="00514EA0"/>
    <w:rsid w:val="005152D7"/>
    <w:rsid w:val="0051608B"/>
    <w:rsid w:val="00521B38"/>
    <w:rsid w:val="005225E8"/>
    <w:rsid w:val="00523076"/>
    <w:rsid w:val="00525180"/>
    <w:rsid w:val="00525FCC"/>
    <w:rsid w:val="00530EB7"/>
    <w:rsid w:val="00531418"/>
    <w:rsid w:val="00531783"/>
    <w:rsid w:val="00532179"/>
    <w:rsid w:val="00533D36"/>
    <w:rsid w:val="00533EA2"/>
    <w:rsid w:val="00535FAC"/>
    <w:rsid w:val="005402EF"/>
    <w:rsid w:val="00544EE3"/>
    <w:rsid w:val="00544FF2"/>
    <w:rsid w:val="005466B1"/>
    <w:rsid w:val="005467C9"/>
    <w:rsid w:val="00547487"/>
    <w:rsid w:val="00551A4F"/>
    <w:rsid w:val="00552385"/>
    <w:rsid w:val="00553097"/>
    <w:rsid w:val="005530D4"/>
    <w:rsid w:val="00555F29"/>
    <w:rsid w:val="00556AD4"/>
    <w:rsid w:val="0056100F"/>
    <w:rsid w:val="00564116"/>
    <w:rsid w:val="005648FC"/>
    <w:rsid w:val="00564D34"/>
    <w:rsid w:val="005661DB"/>
    <w:rsid w:val="005679AA"/>
    <w:rsid w:val="00567E38"/>
    <w:rsid w:val="005743B7"/>
    <w:rsid w:val="0057500C"/>
    <w:rsid w:val="00576D7C"/>
    <w:rsid w:val="0058066F"/>
    <w:rsid w:val="0058075C"/>
    <w:rsid w:val="005815E6"/>
    <w:rsid w:val="00581CDE"/>
    <w:rsid w:val="0058222C"/>
    <w:rsid w:val="00583F6C"/>
    <w:rsid w:val="00584F01"/>
    <w:rsid w:val="00585156"/>
    <w:rsid w:val="00585DF6"/>
    <w:rsid w:val="005869A5"/>
    <w:rsid w:val="0058735C"/>
    <w:rsid w:val="005874D2"/>
    <w:rsid w:val="005907CB"/>
    <w:rsid w:val="00590D44"/>
    <w:rsid w:val="0059152F"/>
    <w:rsid w:val="00591B30"/>
    <w:rsid w:val="00591CFF"/>
    <w:rsid w:val="0059213E"/>
    <w:rsid w:val="00592E31"/>
    <w:rsid w:val="0059555D"/>
    <w:rsid w:val="00596D83"/>
    <w:rsid w:val="005A262C"/>
    <w:rsid w:val="005A37D8"/>
    <w:rsid w:val="005A5452"/>
    <w:rsid w:val="005A62F4"/>
    <w:rsid w:val="005A6366"/>
    <w:rsid w:val="005A7C21"/>
    <w:rsid w:val="005B0A93"/>
    <w:rsid w:val="005B19DE"/>
    <w:rsid w:val="005B4D77"/>
    <w:rsid w:val="005B4DB7"/>
    <w:rsid w:val="005B4F25"/>
    <w:rsid w:val="005B56FA"/>
    <w:rsid w:val="005B5E72"/>
    <w:rsid w:val="005B7025"/>
    <w:rsid w:val="005B74A0"/>
    <w:rsid w:val="005B753D"/>
    <w:rsid w:val="005C06AE"/>
    <w:rsid w:val="005C3676"/>
    <w:rsid w:val="005C5AAE"/>
    <w:rsid w:val="005C62BD"/>
    <w:rsid w:val="005C7EF1"/>
    <w:rsid w:val="005D1995"/>
    <w:rsid w:val="005D2A84"/>
    <w:rsid w:val="005D457C"/>
    <w:rsid w:val="005D7CA4"/>
    <w:rsid w:val="005E0093"/>
    <w:rsid w:val="005E0EA5"/>
    <w:rsid w:val="005E1237"/>
    <w:rsid w:val="005E4810"/>
    <w:rsid w:val="005E4C72"/>
    <w:rsid w:val="005E59FB"/>
    <w:rsid w:val="005F06C4"/>
    <w:rsid w:val="005F32D1"/>
    <w:rsid w:val="005F3A86"/>
    <w:rsid w:val="005F50F2"/>
    <w:rsid w:val="006006C3"/>
    <w:rsid w:val="006074E7"/>
    <w:rsid w:val="006078DE"/>
    <w:rsid w:val="006125D4"/>
    <w:rsid w:val="00612818"/>
    <w:rsid w:val="00617408"/>
    <w:rsid w:val="006219F0"/>
    <w:rsid w:val="00621CE4"/>
    <w:rsid w:val="00622B62"/>
    <w:rsid w:val="00631308"/>
    <w:rsid w:val="006325BB"/>
    <w:rsid w:val="00633D2E"/>
    <w:rsid w:val="006350E1"/>
    <w:rsid w:val="00635B43"/>
    <w:rsid w:val="006360E2"/>
    <w:rsid w:val="0063772E"/>
    <w:rsid w:val="00640EA3"/>
    <w:rsid w:val="00642604"/>
    <w:rsid w:val="00646A9B"/>
    <w:rsid w:val="00651AD0"/>
    <w:rsid w:val="00651C73"/>
    <w:rsid w:val="00656CD6"/>
    <w:rsid w:val="00657282"/>
    <w:rsid w:val="00661B33"/>
    <w:rsid w:val="00662FF1"/>
    <w:rsid w:val="0066304E"/>
    <w:rsid w:val="00663824"/>
    <w:rsid w:val="00663CBF"/>
    <w:rsid w:val="00664325"/>
    <w:rsid w:val="006675A0"/>
    <w:rsid w:val="00667E97"/>
    <w:rsid w:val="00671318"/>
    <w:rsid w:val="00674B42"/>
    <w:rsid w:val="00676B8D"/>
    <w:rsid w:val="00677020"/>
    <w:rsid w:val="00677A1D"/>
    <w:rsid w:val="00680386"/>
    <w:rsid w:val="0068183E"/>
    <w:rsid w:val="00682BD3"/>
    <w:rsid w:val="00683437"/>
    <w:rsid w:val="0068420B"/>
    <w:rsid w:val="00685EEB"/>
    <w:rsid w:val="00686223"/>
    <w:rsid w:val="00690AC4"/>
    <w:rsid w:val="00691143"/>
    <w:rsid w:val="00692B47"/>
    <w:rsid w:val="00693BF0"/>
    <w:rsid w:val="0069415D"/>
    <w:rsid w:val="006944D5"/>
    <w:rsid w:val="0069624A"/>
    <w:rsid w:val="00697AAB"/>
    <w:rsid w:val="006A18BD"/>
    <w:rsid w:val="006A647B"/>
    <w:rsid w:val="006A71FE"/>
    <w:rsid w:val="006B265E"/>
    <w:rsid w:val="006B2944"/>
    <w:rsid w:val="006B3251"/>
    <w:rsid w:val="006B7034"/>
    <w:rsid w:val="006B7A31"/>
    <w:rsid w:val="006C28BC"/>
    <w:rsid w:val="006C3D76"/>
    <w:rsid w:val="006C47E1"/>
    <w:rsid w:val="006C756B"/>
    <w:rsid w:val="006C7C19"/>
    <w:rsid w:val="006D0EF7"/>
    <w:rsid w:val="006D232E"/>
    <w:rsid w:val="006D5620"/>
    <w:rsid w:val="006D5FE5"/>
    <w:rsid w:val="006D6B89"/>
    <w:rsid w:val="006E03C9"/>
    <w:rsid w:val="006E2CE2"/>
    <w:rsid w:val="006E3273"/>
    <w:rsid w:val="006E3557"/>
    <w:rsid w:val="006E5F3E"/>
    <w:rsid w:val="006E62AB"/>
    <w:rsid w:val="006E6830"/>
    <w:rsid w:val="006E685F"/>
    <w:rsid w:val="006E6A3D"/>
    <w:rsid w:val="006E70A0"/>
    <w:rsid w:val="006F00D4"/>
    <w:rsid w:val="006F0A6D"/>
    <w:rsid w:val="006F2061"/>
    <w:rsid w:val="006F2BCF"/>
    <w:rsid w:val="006F3178"/>
    <w:rsid w:val="006F4B19"/>
    <w:rsid w:val="006F57F6"/>
    <w:rsid w:val="006F5DFA"/>
    <w:rsid w:val="006F5FB3"/>
    <w:rsid w:val="006F705E"/>
    <w:rsid w:val="00701547"/>
    <w:rsid w:val="0070317E"/>
    <w:rsid w:val="00704FAA"/>
    <w:rsid w:val="0070553A"/>
    <w:rsid w:val="007137C0"/>
    <w:rsid w:val="00715538"/>
    <w:rsid w:val="00715686"/>
    <w:rsid w:val="00715731"/>
    <w:rsid w:val="00715F34"/>
    <w:rsid w:val="00715F83"/>
    <w:rsid w:val="007173A3"/>
    <w:rsid w:val="00717D66"/>
    <w:rsid w:val="00724997"/>
    <w:rsid w:val="007270CF"/>
    <w:rsid w:val="00727E1A"/>
    <w:rsid w:val="00730A33"/>
    <w:rsid w:val="00731E33"/>
    <w:rsid w:val="007321E2"/>
    <w:rsid w:val="00735C60"/>
    <w:rsid w:val="0074030D"/>
    <w:rsid w:val="007413B3"/>
    <w:rsid w:val="00741413"/>
    <w:rsid w:val="00742C16"/>
    <w:rsid w:val="00743852"/>
    <w:rsid w:val="007442B5"/>
    <w:rsid w:val="00744668"/>
    <w:rsid w:val="00744CC1"/>
    <w:rsid w:val="007464B4"/>
    <w:rsid w:val="00747649"/>
    <w:rsid w:val="00751E97"/>
    <w:rsid w:val="007521BE"/>
    <w:rsid w:val="00752C15"/>
    <w:rsid w:val="00754467"/>
    <w:rsid w:val="0075526F"/>
    <w:rsid w:val="007610F9"/>
    <w:rsid w:val="007611FB"/>
    <w:rsid w:val="0076222E"/>
    <w:rsid w:val="00762952"/>
    <w:rsid w:val="00765B8E"/>
    <w:rsid w:val="00767585"/>
    <w:rsid w:val="007706AC"/>
    <w:rsid w:val="00772986"/>
    <w:rsid w:val="0077478D"/>
    <w:rsid w:val="007817EA"/>
    <w:rsid w:val="0078212E"/>
    <w:rsid w:val="0078280F"/>
    <w:rsid w:val="00782D83"/>
    <w:rsid w:val="00782F33"/>
    <w:rsid w:val="00786816"/>
    <w:rsid w:val="007878E4"/>
    <w:rsid w:val="00787D4D"/>
    <w:rsid w:val="007908A8"/>
    <w:rsid w:val="00790FB2"/>
    <w:rsid w:val="00792BA2"/>
    <w:rsid w:val="00795BA0"/>
    <w:rsid w:val="007A0C8A"/>
    <w:rsid w:val="007A0D9C"/>
    <w:rsid w:val="007A1B64"/>
    <w:rsid w:val="007A265C"/>
    <w:rsid w:val="007A2AA0"/>
    <w:rsid w:val="007A6B1A"/>
    <w:rsid w:val="007B2DC8"/>
    <w:rsid w:val="007B4C23"/>
    <w:rsid w:val="007B5559"/>
    <w:rsid w:val="007B58FB"/>
    <w:rsid w:val="007B5E0D"/>
    <w:rsid w:val="007B64FE"/>
    <w:rsid w:val="007C0456"/>
    <w:rsid w:val="007C324C"/>
    <w:rsid w:val="007C4C42"/>
    <w:rsid w:val="007C5155"/>
    <w:rsid w:val="007C5893"/>
    <w:rsid w:val="007D128C"/>
    <w:rsid w:val="007D13BC"/>
    <w:rsid w:val="007D43BA"/>
    <w:rsid w:val="007D5FBA"/>
    <w:rsid w:val="007D7F17"/>
    <w:rsid w:val="007E2A6F"/>
    <w:rsid w:val="007E34CE"/>
    <w:rsid w:val="007E4A26"/>
    <w:rsid w:val="007E4C7C"/>
    <w:rsid w:val="007E61F0"/>
    <w:rsid w:val="007E7F5F"/>
    <w:rsid w:val="007F5134"/>
    <w:rsid w:val="007F589E"/>
    <w:rsid w:val="007F6F5F"/>
    <w:rsid w:val="007F7FDD"/>
    <w:rsid w:val="008068AB"/>
    <w:rsid w:val="0080701F"/>
    <w:rsid w:val="0081022A"/>
    <w:rsid w:val="00810464"/>
    <w:rsid w:val="00810BB1"/>
    <w:rsid w:val="00810FF7"/>
    <w:rsid w:val="00813D1C"/>
    <w:rsid w:val="00822329"/>
    <w:rsid w:val="00824A91"/>
    <w:rsid w:val="00825649"/>
    <w:rsid w:val="00826680"/>
    <w:rsid w:val="00832A97"/>
    <w:rsid w:val="00832AE7"/>
    <w:rsid w:val="00833C78"/>
    <w:rsid w:val="00834D3E"/>
    <w:rsid w:val="00835C0F"/>
    <w:rsid w:val="00837575"/>
    <w:rsid w:val="0084017B"/>
    <w:rsid w:val="00840D18"/>
    <w:rsid w:val="00842DB9"/>
    <w:rsid w:val="00843AAA"/>
    <w:rsid w:val="008525F7"/>
    <w:rsid w:val="00854BF1"/>
    <w:rsid w:val="0085656C"/>
    <w:rsid w:val="008612E1"/>
    <w:rsid w:val="0086181C"/>
    <w:rsid w:val="00864EB1"/>
    <w:rsid w:val="00865475"/>
    <w:rsid w:val="00867AE9"/>
    <w:rsid w:val="0087005E"/>
    <w:rsid w:val="00871E4A"/>
    <w:rsid w:val="0087242C"/>
    <w:rsid w:val="008762CD"/>
    <w:rsid w:val="008764DC"/>
    <w:rsid w:val="008816D8"/>
    <w:rsid w:val="00881F1A"/>
    <w:rsid w:val="008849D5"/>
    <w:rsid w:val="008852D1"/>
    <w:rsid w:val="0088531A"/>
    <w:rsid w:val="00886445"/>
    <w:rsid w:val="00891DB4"/>
    <w:rsid w:val="00897454"/>
    <w:rsid w:val="0089745D"/>
    <w:rsid w:val="008A2762"/>
    <w:rsid w:val="008A2CBF"/>
    <w:rsid w:val="008A4C3B"/>
    <w:rsid w:val="008A5CC2"/>
    <w:rsid w:val="008B142D"/>
    <w:rsid w:val="008B1787"/>
    <w:rsid w:val="008B30BB"/>
    <w:rsid w:val="008B3312"/>
    <w:rsid w:val="008B7A66"/>
    <w:rsid w:val="008C073E"/>
    <w:rsid w:val="008C12F6"/>
    <w:rsid w:val="008C1A9E"/>
    <w:rsid w:val="008C2A96"/>
    <w:rsid w:val="008C2BBE"/>
    <w:rsid w:val="008C2BF7"/>
    <w:rsid w:val="008C5460"/>
    <w:rsid w:val="008C58E3"/>
    <w:rsid w:val="008C5AAC"/>
    <w:rsid w:val="008C7BDA"/>
    <w:rsid w:val="008D49A5"/>
    <w:rsid w:val="008D5A58"/>
    <w:rsid w:val="008E1B51"/>
    <w:rsid w:val="008E29E1"/>
    <w:rsid w:val="008E4C21"/>
    <w:rsid w:val="008F0382"/>
    <w:rsid w:val="008F2B3B"/>
    <w:rsid w:val="008F31A9"/>
    <w:rsid w:val="008F3E52"/>
    <w:rsid w:val="008F3F4E"/>
    <w:rsid w:val="008F476C"/>
    <w:rsid w:val="008F4923"/>
    <w:rsid w:val="008F4AA5"/>
    <w:rsid w:val="008F506E"/>
    <w:rsid w:val="008F70A3"/>
    <w:rsid w:val="00902410"/>
    <w:rsid w:val="0090503C"/>
    <w:rsid w:val="00905BF5"/>
    <w:rsid w:val="00910225"/>
    <w:rsid w:val="00911EFD"/>
    <w:rsid w:val="0091544D"/>
    <w:rsid w:val="009163FD"/>
    <w:rsid w:val="00916814"/>
    <w:rsid w:val="009171A8"/>
    <w:rsid w:val="009177A8"/>
    <w:rsid w:val="00917996"/>
    <w:rsid w:val="009216FB"/>
    <w:rsid w:val="009248C1"/>
    <w:rsid w:val="00924DC8"/>
    <w:rsid w:val="009258D8"/>
    <w:rsid w:val="00933C6C"/>
    <w:rsid w:val="0093435B"/>
    <w:rsid w:val="00935078"/>
    <w:rsid w:val="009365DB"/>
    <w:rsid w:val="00936EF2"/>
    <w:rsid w:val="00937CB2"/>
    <w:rsid w:val="009416DE"/>
    <w:rsid w:val="009429F7"/>
    <w:rsid w:val="00943911"/>
    <w:rsid w:val="009447E0"/>
    <w:rsid w:val="0094590E"/>
    <w:rsid w:val="00946057"/>
    <w:rsid w:val="00946668"/>
    <w:rsid w:val="00951D5B"/>
    <w:rsid w:val="0095314E"/>
    <w:rsid w:val="00953FEE"/>
    <w:rsid w:val="00954321"/>
    <w:rsid w:val="0095472C"/>
    <w:rsid w:val="00954BE0"/>
    <w:rsid w:val="00955786"/>
    <w:rsid w:val="009575CE"/>
    <w:rsid w:val="00957829"/>
    <w:rsid w:val="00960E98"/>
    <w:rsid w:val="009611AF"/>
    <w:rsid w:val="00961413"/>
    <w:rsid w:val="009626A4"/>
    <w:rsid w:val="0096406E"/>
    <w:rsid w:val="009655B3"/>
    <w:rsid w:val="00965EAE"/>
    <w:rsid w:val="009665B1"/>
    <w:rsid w:val="0096678C"/>
    <w:rsid w:val="00967947"/>
    <w:rsid w:val="00970F0A"/>
    <w:rsid w:val="00971F96"/>
    <w:rsid w:val="00981589"/>
    <w:rsid w:val="00982508"/>
    <w:rsid w:val="00982BE5"/>
    <w:rsid w:val="00982E06"/>
    <w:rsid w:val="00982F94"/>
    <w:rsid w:val="009832A7"/>
    <w:rsid w:val="00983781"/>
    <w:rsid w:val="00984DD0"/>
    <w:rsid w:val="00985225"/>
    <w:rsid w:val="009856EC"/>
    <w:rsid w:val="00985CB4"/>
    <w:rsid w:val="00987D22"/>
    <w:rsid w:val="009928B9"/>
    <w:rsid w:val="00992E2E"/>
    <w:rsid w:val="009A0D9C"/>
    <w:rsid w:val="009A1B93"/>
    <w:rsid w:val="009A1DDE"/>
    <w:rsid w:val="009A3F34"/>
    <w:rsid w:val="009A415F"/>
    <w:rsid w:val="009A5859"/>
    <w:rsid w:val="009A7E59"/>
    <w:rsid w:val="009B0481"/>
    <w:rsid w:val="009B26E2"/>
    <w:rsid w:val="009B2AD6"/>
    <w:rsid w:val="009B2E6F"/>
    <w:rsid w:val="009B3D1C"/>
    <w:rsid w:val="009B4934"/>
    <w:rsid w:val="009B696B"/>
    <w:rsid w:val="009B72BC"/>
    <w:rsid w:val="009C0BE4"/>
    <w:rsid w:val="009C0DC1"/>
    <w:rsid w:val="009C0E99"/>
    <w:rsid w:val="009C384C"/>
    <w:rsid w:val="009C3EEA"/>
    <w:rsid w:val="009C3FEE"/>
    <w:rsid w:val="009C4A09"/>
    <w:rsid w:val="009C64CD"/>
    <w:rsid w:val="009D092E"/>
    <w:rsid w:val="009D198D"/>
    <w:rsid w:val="009D3D5B"/>
    <w:rsid w:val="009E0B14"/>
    <w:rsid w:val="009E13B3"/>
    <w:rsid w:val="009E2BF2"/>
    <w:rsid w:val="009E2C16"/>
    <w:rsid w:val="009E428E"/>
    <w:rsid w:val="009E42B9"/>
    <w:rsid w:val="009E4C4B"/>
    <w:rsid w:val="009E4DDD"/>
    <w:rsid w:val="009E77D4"/>
    <w:rsid w:val="009F1715"/>
    <w:rsid w:val="009F1EED"/>
    <w:rsid w:val="009F2142"/>
    <w:rsid w:val="009F2D3C"/>
    <w:rsid w:val="009F342E"/>
    <w:rsid w:val="009F382C"/>
    <w:rsid w:val="009F3FEC"/>
    <w:rsid w:val="009F4640"/>
    <w:rsid w:val="009F4E91"/>
    <w:rsid w:val="009F52E3"/>
    <w:rsid w:val="009F6253"/>
    <w:rsid w:val="009F70D4"/>
    <w:rsid w:val="009F71E4"/>
    <w:rsid w:val="00A005A4"/>
    <w:rsid w:val="00A02005"/>
    <w:rsid w:val="00A027B3"/>
    <w:rsid w:val="00A02BE9"/>
    <w:rsid w:val="00A043CD"/>
    <w:rsid w:val="00A07933"/>
    <w:rsid w:val="00A10A6C"/>
    <w:rsid w:val="00A1332B"/>
    <w:rsid w:val="00A13F8F"/>
    <w:rsid w:val="00A15D05"/>
    <w:rsid w:val="00A212F4"/>
    <w:rsid w:val="00A2223D"/>
    <w:rsid w:val="00A22565"/>
    <w:rsid w:val="00A2315E"/>
    <w:rsid w:val="00A23E17"/>
    <w:rsid w:val="00A2584A"/>
    <w:rsid w:val="00A26003"/>
    <w:rsid w:val="00A2779A"/>
    <w:rsid w:val="00A30087"/>
    <w:rsid w:val="00A31509"/>
    <w:rsid w:val="00A31788"/>
    <w:rsid w:val="00A37931"/>
    <w:rsid w:val="00A40D6D"/>
    <w:rsid w:val="00A43B4C"/>
    <w:rsid w:val="00A442D8"/>
    <w:rsid w:val="00A44DF3"/>
    <w:rsid w:val="00A469F7"/>
    <w:rsid w:val="00A46D3B"/>
    <w:rsid w:val="00A50CBF"/>
    <w:rsid w:val="00A56797"/>
    <w:rsid w:val="00A60496"/>
    <w:rsid w:val="00A638A8"/>
    <w:rsid w:val="00A63A3A"/>
    <w:rsid w:val="00A65CDB"/>
    <w:rsid w:val="00A66914"/>
    <w:rsid w:val="00A67334"/>
    <w:rsid w:val="00A67C1A"/>
    <w:rsid w:val="00A71729"/>
    <w:rsid w:val="00A71E40"/>
    <w:rsid w:val="00A721F3"/>
    <w:rsid w:val="00A74E49"/>
    <w:rsid w:val="00A7524E"/>
    <w:rsid w:val="00A75DD5"/>
    <w:rsid w:val="00A80A73"/>
    <w:rsid w:val="00A80B83"/>
    <w:rsid w:val="00A85FBC"/>
    <w:rsid w:val="00A8601B"/>
    <w:rsid w:val="00A8601F"/>
    <w:rsid w:val="00A8717A"/>
    <w:rsid w:val="00A87744"/>
    <w:rsid w:val="00A878C6"/>
    <w:rsid w:val="00A909BA"/>
    <w:rsid w:val="00A93555"/>
    <w:rsid w:val="00A93671"/>
    <w:rsid w:val="00A94FF9"/>
    <w:rsid w:val="00AA03CC"/>
    <w:rsid w:val="00AA1620"/>
    <w:rsid w:val="00AA2F7A"/>
    <w:rsid w:val="00AA6338"/>
    <w:rsid w:val="00AB07B9"/>
    <w:rsid w:val="00AB2C20"/>
    <w:rsid w:val="00AB517D"/>
    <w:rsid w:val="00AB5226"/>
    <w:rsid w:val="00AB6A2A"/>
    <w:rsid w:val="00AC1B49"/>
    <w:rsid w:val="00AC289F"/>
    <w:rsid w:val="00AC2DF1"/>
    <w:rsid w:val="00AC36BC"/>
    <w:rsid w:val="00AC3778"/>
    <w:rsid w:val="00AC41BF"/>
    <w:rsid w:val="00AC64EA"/>
    <w:rsid w:val="00AC6691"/>
    <w:rsid w:val="00AC779A"/>
    <w:rsid w:val="00AD03EE"/>
    <w:rsid w:val="00AD4ABF"/>
    <w:rsid w:val="00AD4ACF"/>
    <w:rsid w:val="00AD6148"/>
    <w:rsid w:val="00AE06E5"/>
    <w:rsid w:val="00AE139B"/>
    <w:rsid w:val="00AE3B10"/>
    <w:rsid w:val="00AE4D81"/>
    <w:rsid w:val="00AE50F9"/>
    <w:rsid w:val="00AE5766"/>
    <w:rsid w:val="00AE74B8"/>
    <w:rsid w:val="00AE7FD1"/>
    <w:rsid w:val="00AF03AC"/>
    <w:rsid w:val="00AF381C"/>
    <w:rsid w:val="00AF5758"/>
    <w:rsid w:val="00AF6B18"/>
    <w:rsid w:val="00AF6C8E"/>
    <w:rsid w:val="00AF6DC4"/>
    <w:rsid w:val="00B03E31"/>
    <w:rsid w:val="00B04529"/>
    <w:rsid w:val="00B04EA8"/>
    <w:rsid w:val="00B060F8"/>
    <w:rsid w:val="00B069A0"/>
    <w:rsid w:val="00B07398"/>
    <w:rsid w:val="00B10786"/>
    <w:rsid w:val="00B124FF"/>
    <w:rsid w:val="00B13FCE"/>
    <w:rsid w:val="00B173A2"/>
    <w:rsid w:val="00B17800"/>
    <w:rsid w:val="00B17D8E"/>
    <w:rsid w:val="00B20C89"/>
    <w:rsid w:val="00B22449"/>
    <w:rsid w:val="00B2274F"/>
    <w:rsid w:val="00B278C7"/>
    <w:rsid w:val="00B27E23"/>
    <w:rsid w:val="00B30498"/>
    <w:rsid w:val="00B328F2"/>
    <w:rsid w:val="00B35B95"/>
    <w:rsid w:val="00B35CB5"/>
    <w:rsid w:val="00B41824"/>
    <w:rsid w:val="00B43684"/>
    <w:rsid w:val="00B454BD"/>
    <w:rsid w:val="00B46034"/>
    <w:rsid w:val="00B46723"/>
    <w:rsid w:val="00B5164A"/>
    <w:rsid w:val="00B51C05"/>
    <w:rsid w:val="00B539E6"/>
    <w:rsid w:val="00B55463"/>
    <w:rsid w:val="00B57964"/>
    <w:rsid w:val="00B57AB1"/>
    <w:rsid w:val="00B57CE4"/>
    <w:rsid w:val="00B57FD3"/>
    <w:rsid w:val="00B60E19"/>
    <w:rsid w:val="00B614EF"/>
    <w:rsid w:val="00B61565"/>
    <w:rsid w:val="00B62835"/>
    <w:rsid w:val="00B63939"/>
    <w:rsid w:val="00B66FE1"/>
    <w:rsid w:val="00B67FC3"/>
    <w:rsid w:val="00B71023"/>
    <w:rsid w:val="00B71182"/>
    <w:rsid w:val="00B73ACE"/>
    <w:rsid w:val="00B74809"/>
    <w:rsid w:val="00B77A55"/>
    <w:rsid w:val="00B80342"/>
    <w:rsid w:val="00B807DC"/>
    <w:rsid w:val="00B817C9"/>
    <w:rsid w:val="00B82130"/>
    <w:rsid w:val="00B82FAD"/>
    <w:rsid w:val="00B91044"/>
    <w:rsid w:val="00B974A7"/>
    <w:rsid w:val="00B97D45"/>
    <w:rsid w:val="00BA33E4"/>
    <w:rsid w:val="00BA3652"/>
    <w:rsid w:val="00BA4A95"/>
    <w:rsid w:val="00BA518F"/>
    <w:rsid w:val="00BB01DF"/>
    <w:rsid w:val="00BB1351"/>
    <w:rsid w:val="00BB44E5"/>
    <w:rsid w:val="00BC0E79"/>
    <w:rsid w:val="00BC1580"/>
    <w:rsid w:val="00BC3B43"/>
    <w:rsid w:val="00BC3EAE"/>
    <w:rsid w:val="00BC4544"/>
    <w:rsid w:val="00BC50A8"/>
    <w:rsid w:val="00BC70DA"/>
    <w:rsid w:val="00BC7C9E"/>
    <w:rsid w:val="00BD618C"/>
    <w:rsid w:val="00BD7136"/>
    <w:rsid w:val="00BE0ABD"/>
    <w:rsid w:val="00BE0D4A"/>
    <w:rsid w:val="00BE1D5C"/>
    <w:rsid w:val="00BE2003"/>
    <w:rsid w:val="00BE40BB"/>
    <w:rsid w:val="00BE5BEB"/>
    <w:rsid w:val="00BE6E49"/>
    <w:rsid w:val="00BE72E7"/>
    <w:rsid w:val="00BF10D7"/>
    <w:rsid w:val="00BF3550"/>
    <w:rsid w:val="00BF3D56"/>
    <w:rsid w:val="00BF6A3E"/>
    <w:rsid w:val="00BF7044"/>
    <w:rsid w:val="00C005D4"/>
    <w:rsid w:val="00C011B5"/>
    <w:rsid w:val="00C02324"/>
    <w:rsid w:val="00C027B1"/>
    <w:rsid w:val="00C04FEF"/>
    <w:rsid w:val="00C052B1"/>
    <w:rsid w:val="00C10EC9"/>
    <w:rsid w:val="00C121A8"/>
    <w:rsid w:val="00C16690"/>
    <w:rsid w:val="00C17189"/>
    <w:rsid w:val="00C2008E"/>
    <w:rsid w:val="00C22804"/>
    <w:rsid w:val="00C26B55"/>
    <w:rsid w:val="00C279CA"/>
    <w:rsid w:val="00C27A8D"/>
    <w:rsid w:val="00C300E2"/>
    <w:rsid w:val="00C30D91"/>
    <w:rsid w:val="00C32038"/>
    <w:rsid w:val="00C32A9B"/>
    <w:rsid w:val="00C34D6F"/>
    <w:rsid w:val="00C34E43"/>
    <w:rsid w:val="00C3631B"/>
    <w:rsid w:val="00C365DD"/>
    <w:rsid w:val="00C36CA3"/>
    <w:rsid w:val="00C4379D"/>
    <w:rsid w:val="00C4479C"/>
    <w:rsid w:val="00C44E8F"/>
    <w:rsid w:val="00C45E52"/>
    <w:rsid w:val="00C46DF9"/>
    <w:rsid w:val="00C52409"/>
    <w:rsid w:val="00C52C8E"/>
    <w:rsid w:val="00C53BDB"/>
    <w:rsid w:val="00C5445F"/>
    <w:rsid w:val="00C56E90"/>
    <w:rsid w:val="00C57B53"/>
    <w:rsid w:val="00C611E6"/>
    <w:rsid w:val="00C61B5F"/>
    <w:rsid w:val="00C62AFE"/>
    <w:rsid w:val="00C65C47"/>
    <w:rsid w:val="00C66E22"/>
    <w:rsid w:val="00C67198"/>
    <w:rsid w:val="00C67593"/>
    <w:rsid w:val="00C7575F"/>
    <w:rsid w:val="00C75A71"/>
    <w:rsid w:val="00C75AC3"/>
    <w:rsid w:val="00C75E78"/>
    <w:rsid w:val="00C76F34"/>
    <w:rsid w:val="00C806EF"/>
    <w:rsid w:val="00C82574"/>
    <w:rsid w:val="00C853BC"/>
    <w:rsid w:val="00C87119"/>
    <w:rsid w:val="00C90E54"/>
    <w:rsid w:val="00C9187B"/>
    <w:rsid w:val="00C955AA"/>
    <w:rsid w:val="00C96BBC"/>
    <w:rsid w:val="00CA1C51"/>
    <w:rsid w:val="00CA55C8"/>
    <w:rsid w:val="00CA681B"/>
    <w:rsid w:val="00CA7898"/>
    <w:rsid w:val="00CB1460"/>
    <w:rsid w:val="00CB2104"/>
    <w:rsid w:val="00CB5EBC"/>
    <w:rsid w:val="00CB5FDD"/>
    <w:rsid w:val="00CC1CC4"/>
    <w:rsid w:val="00CC40B6"/>
    <w:rsid w:val="00CC4273"/>
    <w:rsid w:val="00CC4444"/>
    <w:rsid w:val="00CC48D6"/>
    <w:rsid w:val="00CC6F0A"/>
    <w:rsid w:val="00CC777E"/>
    <w:rsid w:val="00CD0162"/>
    <w:rsid w:val="00CD0348"/>
    <w:rsid w:val="00CD3415"/>
    <w:rsid w:val="00CD5D14"/>
    <w:rsid w:val="00CD68B6"/>
    <w:rsid w:val="00CE05BB"/>
    <w:rsid w:val="00CE1530"/>
    <w:rsid w:val="00CE44EC"/>
    <w:rsid w:val="00CF07B6"/>
    <w:rsid w:val="00CF127E"/>
    <w:rsid w:val="00CF2F38"/>
    <w:rsid w:val="00CF30A4"/>
    <w:rsid w:val="00CF3490"/>
    <w:rsid w:val="00CF582A"/>
    <w:rsid w:val="00CF5F9F"/>
    <w:rsid w:val="00CF6377"/>
    <w:rsid w:val="00D02A9A"/>
    <w:rsid w:val="00D02D34"/>
    <w:rsid w:val="00D04DEE"/>
    <w:rsid w:val="00D06788"/>
    <w:rsid w:val="00D1133E"/>
    <w:rsid w:val="00D11410"/>
    <w:rsid w:val="00D147A0"/>
    <w:rsid w:val="00D14D02"/>
    <w:rsid w:val="00D14E82"/>
    <w:rsid w:val="00D204EE"/>
    <w:rsid w:val="00D215E6"/>
    <w:rsid w:val="00D22242"/>
    <w:rsid w:val="00D31E21"/>
    <w:rsid w:val="00D36011"/>
    <w:rsid w:val="00D3615F"/>
    <w:rsid w:val="00D37F4A"/>
    <w:rsid w:val="00D40761"/>
    <w:rsid w:val="00D421DA"/>
    <w:rsid w:val="00D43796"/>
    <w:rsid w:val="00D440DB"/>
    <w:rsid w:val="00D501F2"/>
    <w:rsid w:val="00D50C04"/>
    <w:rsid w:val="00D5180B"/>
    <w:rsid w:val="00D56205"/>
    <w:rsid w:val="00D572AB"/>
    <w:rsid w:val="00D57712"/>
    <w:rsid w:val="00D60000"/>
    <w:rsid w:val="00D61241"/>
    <w:rsid w:val="00D658EA"/>
    <w:rsid w:val="00D71984"/>
    <w:rsid w:val="00D71A6E"/>
    <w:rsid w:val="00D71AF3"/>
    <w:rsid w:val="00D744D1"/>
    <w:rsid w:val="00D746DA"/>
    <w:rsid w:val="00D75495"/>
    <w:rsid w:val="00D81B67"/>
    <w:rsid w:val="00D83FE4"/>
    <w:rsid w:val="00D86413"/>
    <w:rsid w:val="00D905B6"/>
    <w:rsid w:val="00D9215C"/>
    <w:rsid w:val="00D92864"/>
    <w:rsid w:val="00D97522"/>
    <w:rsid w:val="00DA4419"/>
    <w:rsid w:val="00DA474E"/>
    <w:rsid w:val="00DA5E3D"/>
    <w:rsid w:val="00DA6CEF"/>
    <w:rsid w:val="00DA73D7"/>
    <w:rsid w:val="00DB125E"/>
    <w:rsid w:val="00DB1DB0"/>
    <w:rsid w:val="00DB1F7F"/>
    <w:rsid w:val="00DB336E"/>
    <w:rsid w:val="00DB3CFB"/>
    <w:rsid w:val="00DB4689"/>
    <w:rsid w:val="00DB5301"/>
    <w:rsid w:val="00DB5F4F"/>
    <w:rsid w:val="00DB6EDE"/>
    <w:rsid w:val="00DB7AD5"/>
    <w:rsid w:val="00DC1A2D"/>
    <w:rsid w:val="00DC1FBE"/>
    <w:rsid w:val="00DC3C6B"/>
    <w:rsid w:val="00DC4DFF"/>
    <w:rsid w:val="00DC4E45"/>
    <w:rsid w:val="00DC601B"/>
    <w:rsid w:val="00DD0872"/>
    <w:rsid w:val="00DD14E1"/>
    <w:rsid w:val="00DD5C63"/>
    <w:rsid w:val="00DD5DB1"/>
    <w:rsid w:val="00DD65C5"/>
    <w:rsid w:val="00DD728C"/>
    <w:rsid w:val="00DD73C8"/>
    <w:rsid w:val="00DD794E"/>
    <w:rsid w:val="00DD7CFA"/>
    <w:rsid w:val="00DE618E"/>
    <w:rsid w:val="00DF2C8E"/>
    <w:rsid w:val="00DF41A1"/>
    <w:rsid w:val="00DF469A"/>
    <w:rsid w:val="00DF46EC"/>
    <w:rsid w:val="00DF7A21"/>
    <w:rsid w:val="00E0135A"/>
    <w:rsid w:val="00E01A21"/>
    <w:rsid w:val="00E0426F"/>
    <w:rsid w:val="00E10B51"/>
    <w:rsid w:val="00E10C01"/>
    <w:rsid w:val="00E12CC5"/>
    <w:rsid w:val="00E13D31"/>
    <w:rsid w:val="00E141F8"/>
    <w:rsid w:val="00E238A1"/>
    <w:rsid w:val="00E23918"/>
    <w:rsid w:val="00E27855"/>
    <w:rsid w:val="00E27D03"/>
    <w:rsid w:val="00E32697"/>
    <w:rsid w:val="00E32EEE"/>
    <w:rsid w:val="00E349E5"/>
    <w:rsid w:val="00E351D1"/>
    <w:rsid w:val="00E36D9C"/>
    <w:rsid w:val="00E4007B"/>
    <w:rsid w:val="00E43111"/>
    <w:rsid w:val="00E432CB"/>
    <w:rsid w:val="00E43445"/>
    <w:rsid w:val="00E43448"/>
    <w:rsid w:val="00E4484B"/>
    <w:rsid w:val="00E47511"/>
    <w:rsid w:val="00E51C58"/>
    <w:rsid w:val="00E5362E"/>
    <w:rsid w:val="00E540C8"/>
    <w:rsid w:val="00E554C8"/>
    <w:rsid w:val="00E6273E"/>
    <w:rsid w:val="00E65F52"/>
    <w:rsid w:val="00E67867"/>
    <w:rsid w:val="00E750E5"/>
    <w:rsid w:val="00E75215"/>
    <w:rsid w:val="00E752B0"/>
    <w:rsid w:val="00E773BB"/>
    <w:rsid w:val="00E8021A"/>
    <w:rsid w:val="00E804CF"/>
    <w:rsid w:val="00E84476"/>
    <w:rsid w:val="00E86707"/>
    <w:rsid w:val="00E91E48"/>
    <w:rsid w:val="00E92823"/>
    <w:rsid w:val="00E93952"/>
    <w:rsid w:val="00E943CB"/>
    <w:rsid w:val="00E94823"/>
    <w:rsid w:val="00E953C6"/>
    <w:rsid w:val="00E967D5"/>
    <w:rsid w:val="00E970B2"/>
    <w:rsid w:val="00EA4BBB"/>
    <w:rsid w:val="00EA64B0"/>
    <w:rsid w:val="00EA67CD"/>
    <w:rsid w:val="00EA698A"/>
    <w:rsid w:val="00EA6F4C"/>
    <w:rsid w:val="00EB0211"/>
    <w:rsid w:val="00EB1476"/>
    <w:rsid w:val="00EB158D"/>
    <w:rsid w:val="00EB27BF"/>
    <w:rsid w:val="00EB378F"/>
    <w:rsid w:val="00EB579E"/>
    <w:rsid w:val="00EB62F0"/>
    <w:rsid w:val="00EC754D"/>
    <w:rsid w:val="00ED15C2"/>
    <w:rsid w:val="00ED6660"/>
    <w:rsid w:val="00EE0BF3"/>
    <w:rsid w:val="00EE0C83"/>
    <w:rsid w:val="00EE14EF"/>
    <w:rsid w:val="00EE3252"/>
    <w:rsid w:val="00EE529D"/>
    <w:rsid w:val="00EE622B"/>
    <w:rsid w:val="00EF07F3"/>
    <w:rsid w:val="00EF2FF1"/>
    <w:rsid w:val="00EF3922"/>
    <w:rsid w:val="00EF416E"/>
    <w:rsid w:val="00EF5752"/>
    <w:rsid w:val="00EF76BE"/>
    <w:rsid w:val="00F00E21"/>
    <w:rsid w:val="00F04590"/>
    <w:rsid w:val="00F05C4C"/>
    <w:rsid w:val="00F06DF7"/>
    <w:rsid w:val="00F07399"/>
    <w:rsid w:val="00F100E4"/>
    <w:rsid w:val="00F1159B"/>
    <w:rsid w:val="00F118F4"/>
    <w:rsid w:val="00F12609"/>
    <w:rsid w:val="00F13A68"/>
    <w:rsid w:val="00F16C9A"/>
    <w:rsid w:val="00F17592"/>
    <w:rsid w:val="00F205EB"/>
    <w:rsid w:val="00F20DA6"/>
    <w:rsid w:val="00F20E6F"/>
    <w:rsid w:val="00F227AC"/>
    <w:rsid w:val="00F23E25"/>
    <w:rsid w:val="00F2442E"/>
    <w:rsid w:val="00F269A9"/>
    <w:rsid w:val="00F27D2A"/>
    <w:rsid w:val="00F32313"/>
    <w:rsid w:val="00F36107"/>
    <w:rsid w:val="00F37299"/>
    <w:rsid w:val="00F37B8F"/>
    <w:rsid w:val="00F4348B"/>
    <w:rsid w:val="00F4380D"/>
    <w:rsid w:val="00F47AAE"/>
    <w:rsid w:val="00F501FE"/>
    <w:rsid w:val="00F51BD9"/>
    <w:rsid w:val="00F548FB"/>
    <w:rsid w:val="00F61182"/>
    <w:rsid w:val="00F61D97"/>
    <w:rsid w:val="00F63507"/>
    <w:rsid w:val="00F63EE6"/>
    <w:rsid w:val="00F64DDA"/>
    <w:rsid w:val="00F6524D"/>
    <w:rsid w:val="00F67622"/>
    <w:rsid w:val="00F7094B"/>
    <w:rsid w:val="00F7132D"/>
    <w:rsid w:val="00F720B2"/>
    <w:rsid w:val="00F72959"/>
    <w:rsid w:val="00F7296F"/>
    <w:rsid w:val="00F76032"/>
    <w:rsid w:val="00F80397"/>
    <w:rsid w:val="00F81652"/>
    <w:rsid w:val="00F826F7"/>
    <w:rsid w:val="00F828BC"/>
    <w:rsid w:val="00F85022"/>
    <w:rsid w:val="00F85B8C"/>
    <w:rsid w:val="00F860C5"/>
    <w:rsid w:val="00F86F3C"/>
    <w:rsid w:val="00F87C3F"/>
    <w:rsid w:val="00F90393"/>
    <w:rsid w:val="00F90E12"/>
    <w:rsid w:val="00F90E1F"/>
    <w:rsid w:val="00F94DEB"/>
    <w:rsid w:val="00F94ECF"/>
    <w:rsid w:val="00F9523A"/>
    <w:rsid w:val="00F9693D"/>
    <w:rsid w:val="00FA10E9"/>
    <w:rsid w:val="00FA1277"/>
    <w:rsid w:val="00FA1869"/>
    <w:rsid w:val="00FA79FC"/>
    <w:rsid w:val="00FA7F89"/>
    <w:rsid w:val="00FB1FC1"/>
    <w:rsid w:val="00FB2B67"/>
    <w:rsid w:val="00FB3B8D"/>
    <w:rsid w:val="00FB5BAB"/>
    <w:rsid w:val="00FB6211"/>
    <w:rsid w:val="00FC164C"/>
    <w:rsid w:val="00FC7CE4"/>
    <w:rsid w:val="00FD3A86"/>
    <w:rsid w:val="00FD4110"/>
    <w:rsid w:val="00FE0D6B"/>
    <w:rsid w:val="00FE3648"/>
    <w:rsid w:val="00FE459A"/>
    <w:rsid w:val="00FF08D0"/>
    <w:rsid w:val="00FF2412"/>
    <w:rsid w:val="00FF4E37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F4FAF"/>
  <w15:docId w15:val="{269D5ECF-9803-4D4A-82E0-27CAE4D6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136"/>
  </w:style>
  <w:style w:type="paragraph" w:styleId="Overskrift1">
    <w:name w:val="heading 1"/>
    <w:basedOn w:val="Normal"/>
    <w:next w:val="Normal"/>
    <w:link w:val="Overskrift1Tegn"/>
    <w:uiPriority w:val="9"/>
    <w:qFormat/>
    <w:rsid w:val="00424C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464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24F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C2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A2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2EFD"/>
  </w:style>
  <w:style w:type="paragraph" w:styleId="Sidefod">
    <w:name w:val="footer"/>
    <w:basedOn w:val="Normal"/>
    <w:link w:val="SidefodTegn"/>
    <w:uiPriority w:val="99"/>
    <w:unhideWhenUsed/>
    <w:rsid w:val="000A2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2EF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2EF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A2EFD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24C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46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24F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B0A9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B0A9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B0A9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B0A9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B0A93"/>
    <w:rPr>
      <w:b/>
      <w:bCs/>
      <w:sz w:val="20"/>
      <w:szCs w:val="20"/>
    </w:rPr>
  </w:style>
  <w:style w:type="paragraph" w:styleId="Overskrift">
    <w:name w:val="TOC Heading"/>
    <w:basedOn w:val="Overskrift1"/>
    <w:next w:val="Normal"/>
    <w:uiPriority w:val="39"/>
    <w:unhideWhenUsed/>
    <w:qFormat/>
    <w:rsid w:val="006F57F6"/>
    <w:pPr>
      <w:spacing w:before="240" w:line="259" w:lineRule="auto"/>
      <w:outlineLvl w:val="9"/>
    </w:pPr>
    <w:rPr>
      <w:b w:val="0"/>
      <w:bCs w:val="0"/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E0308"/>
    <w:pPr>
      <w:tabs>
        <w:tab w:val="left" w:pos="440"/>
        <w:tab w:val="right" w:leader="dot" w:pos="9628"/>
      </w:tabs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6F57F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6F57F6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6F57F6"/>
    <w:rPr>
      <w:color w:val="0000FF" w:themeColor="hyperlink"/>
      <w:u w:val="single"/>
    </w:rPr>
  </w:style>
  <w:style w:type="table" w:styleId="Tabel-Gitter">
    <w:name w:val="Table Grid"/>
    <w:basedOn w:val="Tabel-Normal"/>
    <w:uiPriority w:val="39"/>
    <w:rsid w:val="004C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lmindeligtabel31">
    <w:name w:val="Almindelig tabel 31"/>
    <w:basedOn w:val="Tabel-Normal"/>
    <w:uiPriority w:val="43"/>
    <w:rsid w:val="004C36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rrektur">
    <w:name w:val="Revision"/>
    <w:hidden/>
    <w:uiPriority w:val="99"/>
    <w:semiHidden/>
    <w:rsid w:val="0095472C"/>
    <w:pPr>
      <w:spacing w:after="0" w:line="240" w:lineRule="auto"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416665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1666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16665"/>
    <w:rPr>
      <w:vertAlign w:val="superscript"/>
    </w:rPr>
  </w:style>
  <w:style w:type="paragraph" w:styleId="Billedtekst">
    <w:name w:val="caption"/>
    <w:basedOn w:val="Normal"/>
    <w:next w:val="Normal"/>
    <w:uiPriority w:val="35"/>
    <w:unhideWhenUsed/>
    <w:qFormat/>
    <w:rsid w:val="00DC1FB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865475"/>
    <w:rPr>
      <w:color w:val="80808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8C2A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lstomtale">
    <w:name w:val="Unresolved Mention"/>
    <w:basedOn w:val="Standardskrifttypeiafsnit"/>
    <w:uiPriority w:val="99"/>
    <w:semiHidden/>
    <w:unhideWhenUsed/>
    <w:rsid w:val="0096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ovgivning.gl/lov?rid=%7b70B12984-FA3D-4D2D-8EE9-AE6B6CAEBFDB%7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FLK@nanoq.g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lovgivning.gl/lov?rid=%7b0F2B3F3A-8FD2-453F-BD67-25C80B083D63%7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e\AppData\Local\cBrain\F2\.tmp\3d7e211e-8f33-4504-ade2-7a4b14264765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8783B-2F3E-47CF-AF3A-F5C02545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3d7e211e-8f33-4504-ade2-7a4b14264765</Template>
  <TotalTime>2046</TotalTime>
  <Pages>18</Pages>
  <Words>5156</Words>
  <Characters>29395</Characters>
  <Application>Microsoft Office Word</Application>
  <DocSecurity>0</DocSecurity>
  <Lines>244</Lines>
  <Paragraphs>68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Kalaallit Nunaanni Namminersorlutik Oqartussat</Company>
  <LinksUpToDate>false</LinksUpToDate>
  <CharactersWithSpaces>34483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Katrine Kærgaard</dc:creator>
  <cp:lastModifiedBy>Maria Strandgård Rasmussen</cp:lastModifiedBy>
  <cp:revision>837</cp:revision>
  <cp:lastPrinted>2020-05-15T16:41:00Z</cp:lastPrinted>
  <dcterms:created xsi:type="dcterms:W3CDTF">2020-07-01T12:03:00Z</dcterms:created>
  <dcterms:modified xsi:type="dcterms:W3CDTF">2021-04-26T11:13:00Z</dcterms:modified>
</cp:coreProperties>
</file>