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14" w:rsidRPr="0040006D" w:rsidRDefault="008550C5" w:rsidP="00BC05B4">
      <w:pPr>
        <w:pStyle w:val="Lille"/>
        <w:framePr w:w="1883" w:h="2821" w:hRule="exact" w:hSpace="181" w:wrap="notBeside" w:vAnchor="page" w:hAnchor="page" w:x="9410" w:y="4843" w:anchorLock="1"/>
      </w:pPr>
      <w:bookmarkStart w:id="0" w:name="_GoBack"/>
      <w:bookmarkEnd w:id="0"/>
      <w:r w:rsidRPr="008550C5">
        <w:rPr>
          <w:szCs w:val="20"/>
        </w:rPr>
        <w:t>14</w:t>
      </w:r>
      <w:r w:rsidR="00B90514" w:rsidRPr="008550C5">
        <w:rPr>
          <w:szCs w:val="20"/>
        </w:rPr>
        <w:t>-05-2021</w:t>
      </w:r>
    </w:p>
    <w:p w:rsidR="00B90514" w:rsidRPr="0040006D" w:rsidRDefault="00B90514" w:rsidP="00BC05B4">
      <w:pPr>
        <w:pStyle w:val="Lille"/>
        <w:framePr w:w="1883" w:h="2821" w:hRule="exact" w:hSpace="181" w:wrap="notBeside" w:vAnchor="page" w:hAnchor="page" w:x="9410" w:y="4843" w:anchorLock="1"/>
      </w:pPr>
      <w:r w:rsidRPr="0040006D">
        <w:t>Sags nr.</w:t>
      </w:r>
      <w:r w:rsidR="009C02CA" w:rsidRPr="0040006D">
        <w:t>:</w:t>
      </w:r>
      <w:r w:rsidRPr="0040006D">
        <w:t xml:space="preserve"> 2021 - 383  </w:t>
      </w:r>
    </w:p>
    <w:p w:rsidR="00465A30" w:rsidRPr="0040006D" w:rsidRDefault="009C02CA" w:rsidP="00BC05B4">
      <w:pPr>
        <w:pStyle w:val="Lille"/>
        <w:framePr w:w="1883" w:h="2821" w:hRule="exact" w:hSpace="181" w:wrap="notBeside" w:vAnchor="page" w:hAnchor="page" w:x="9410" w:y="4843" w:anchorLock="1"/>
      </w:pPr>
      <w:r w:rsidRPr="0040006D">
        <w:t>Akt</w:t>
      </w:r>
      <w:r w:rsidR="00B90514" w:rsidRPr="0040006D">
        <w:t xml:space="preserve"> nr.</w:t>
      </w:r>
      <w:r w:rsidRPr="0040006D">
        <w:t>:</w:t>
      </w:r>
      <w:r w:rsidR="00B90514" w:rsidRPr="0040006D">
        <w:t xml:space="preserve"> 16773842</w:t>
      </w:r>
      <w:r w:rsidR="00465A30" w:rsidRPr="0040006D">
        <w:t xml:space="preserve"> </w:t>
      </w:r>
    </w:p>
    <w:p w:rsidR="00465A30" w:rsidRPr="0040006D" w:rsidRDefault="00465A30" w:rsidP="00BC05B4">
      <w:pPr>
        <w:pStyle w:val="Lille"/>
        <w:framePr w:w="1883" w:h="2821" w:hRule="exact" w:hSpace="181" w:wrap="notBeside" w:vAnchor="page" w:hAnchor="page" w:x="9410" w:y="4843" w:anchorLock="1"/>
      </w:pPr>
    </w:p>
    <w:p w:rsidR="00943261" w:rsidRPr="0040006D" w:rsidRDefault="007E01D0" w:rsidP="00BC05B4">
      <w:pPr>
        <w:pStyle w:val="Lille"/>
        <w:framePr w:w="1883" w:h="2821" w:hRule="exact" w:hSpace="181" w:wrap="notBeside" w:vAnchor="page" w:hAnchor="page" w:x="9410" w:y="4843" w:anchorLock="1"/>
      </w:pPr>
      <w:r w:rsidRPr="0040006D">
        <w:t>Postboks</w:t>
      </w:r>
      <w:r w:rsidR="00465A30" w:rsidRPr="0040006D">
        <w:t xml:space="preserve"> </w:t>
      </w:r>
      <w:r w:rsidR="00943261" w:rsidRPr="0040006D">
        <w:t>269</w:t>
      </w:r>
    </w:p>
    <w:p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B90514">
        <w:rPr>
          <w:lang w:val="en-US"/>
        </w:rPr>
        <w:t>3900 Nuuk</w:t>
      </w:r>
    </w:p>
    <w:p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proofErr w:type="spellStart"/>
      <w:r w:rsidRPr="00B90514">
        <w:rPr>
          <w:lang w:val="en-US"/>
        </w:rPr>
        <w:t>Tlf</w:t>
      </w:r>
      <w:proofErr w:type="spellEnd"/>
      <w:r w:rsidRPr="00B90514">
        <w:rPr>
          <w:lang w:val="en-US"/>
        </w:rPr>
        <w:t>. (+299) 34 50 00</w:t>
      </w:r>
    </w:p>
    <w:p w:rsidR="00943261" w:rsidRPr="00B90514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 w:rsidRPr="00B90514">
        <w:rPr>
          <w:lang w:val="en-US"/>
        </w:rPr>
        <w:t>Fax (+299) 34 63 55</w:t>
      </w:r>
    </w:p>
    <w:p w:rsidR="00465A30" w:rsidRPr="00710C16" w:rsidRDefault="00943261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apn</w:t>
      </w:r>
      <w:proofErr w:type="spellEnd"/>
      <w:r w:rsidR="00465A30" w:rsidRPr="00710C16">
        <w:rPr>
          <w:lang w:val="en-US"/>
        </w:rPr>
        <w:t>@</w:t>
      </w:r>
      <w:r w:rsidR="00465A30" w:rsidRPr="007D3B61">
        <w:rPr>
          <w:lang w:val="en-US"/>
        </w:rPr>
        <w:t>nanoq</w:t>
      </w:r>
      <w:r w:rsidR="00465A30" w:rsidRPr="00710C16">
        <w:rPr>
          <w:lang w:val="en-US"/>
        </w:rPr>
        <w:t>.gl</w:t>
      </w:r>
    </w:p>
    <w:p w:rsidR="00465A30" w:rsidRPr="00710C16" w:rsidRDefault="00EA4BEF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  <w:r>
        <w:rPr>
          <w:lang w:val="en-US"/>
        </w:rPr>
        <w:t>www.naalakkersuisut</w:t>
      </w:r>
      <w:r w:rsidR="00465A30" w:rsidRPr="00710C16">
        <w:rPr>
          <w:lang w:val="en-US"/>
        </w:rPr>
        <w:t>.gl</w:t>
      </w:r>
    </w:p>
    <w:p w:rsidR="00465A30" w:rsidRPr="00710C16" w:rsidRDefault="00465A30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</w:p>
    <w:p w:rsidR="00465A30" w:rsidRPr="00710C16" w:rsidRDefault="00465A30" w:rsidP="00BC05B4">
      <w:pPr>
        <w:pStyle w:val="Lille"/>
        <w:framePr w:w="1883" w:h="2821" w:hRule="exact" w:hSpace="181" w:wrap="notBeside" w:vAnchor="page" w:hAnchor="page" w:x="9410" w:y="4843" w:anchorLock="1"/>
        <w:rPr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400FE0" w:rsidRPr="009C02CA" w:rsidTr="0040006D">
        <w:trPr>
          <w:trHeight w:val="1135"/>
        </w:trPr>
        <w:tc>
          <w:tcPr>
            <w:tcW w:w="7824" w:type="dxa"/>
          </w:tcPr>
          <w:p w:rsidR="00400FE0" w:rsidRPr="008A0FAF" w:rsidRDefault="00400FE0" w:rsidP="00400FE0">
            <w:pPr>
              <w:rPr>
                <w:rFonts w:ascii="Arial" w:hAnsi="Arial" w:cs="Arial"/>
                <w:sz w:val="20"/>
                <w:szCs w:val="20"/>
              </w:rPr>
            </w:pPr>
          </w:p>
          <w:p w:rsidR="0040006D" w:rsidRPr="008A0FAF" w:rsidRDefault="0040006D" w:rsidP="00400FE0">
            <w:pPr>
              <w:rPr>
                <w:rFonts w:ascii="Arial" w:hAnsi="Arial" w:cs="Arial"/>
                <w:sz w:val="20"/>
                <w:szCs w:val="20"/>
              </w:rPr>
            </w:pPr>
          </w:p>
          <w:p w:rsidR="0040006D" w:rsidRPr="008A0FAF" w:rsidRDefault="0040006D" w:rsidP="00400FE0">
            <w:pPr>
              <w:rPr>
                <w:rFonts w:ascii="Arial" w:hAnsi="Arial" w:cs="Arial"/>
                <w:sz w:val="20"/>
                <w:szCs w:val="20"/>
              </w:rPr>
            </w:pPr>
          </w:p>
          <w:p w:rsidR="0040006D" w:rsidRPr="008A0FAF" w:rsidRDefault="0040006D" w:rsidP="00400FE0">
            <w:pPr>
              <w:rPr>
                <w:rFonts w:ascii="Times New Roman" w:hAnsi="Times New Roman" w:cs="Times New Roman"/>
              </w:rPr>
            </w:pPr>
            <w:r w:rsidRPr="008A0FAF">
              <w:rPr>
                <w:rFonts w:ascii="Times New Roman" w:hAnsi="Times New Roman" w:cs="Times New Roman"/>
                <w:b/>
              </w:rPr>
              <w:t>Høring af Fiskerirådets medlemmer og tilforordnede angående kriterier og betingelser for tildeling af makrel og sild 2021</w:t>
            </w:r>
          </w:p>
        </w:tc>
      </w:tr>
    </w:tbl>
    <w:p w:rsidR="00860D86" w:rsidRDefault="00860D86" w:rsidP="00860D86">
      <w:pPr>
        <w:spacing w:after="0"/>
        <w:rPr>
          <w:rFonts w:ascii="Arial" w:hAnsi="Arial" w:cs="Arial"/>
          <w:sz w:val="16"/>
          <w:szCs w:val="16"/>
        </w:rPr>
      </w:pPr>
    </w:p>
    <w:p w:rsidR="008A0FAF" w:rsidRDefault="008A0FAF" w:rsidP="00860D86">
      <w:pPr>
        <w:spacing w:after="0"/>
        <w:rPr>
          <w:rFonts w:ascii="Arial" w:hAnsi="Arial" w:cs="Arial"/>
          <w:sz w:val="16"/>
          <w:szCs w:val="16"/>
        </w:rPr>
      </w:pPr>
    </w:p>
    <w:p w:rsidR="008A0FAF" w:rsidRDefault="008A0FAF" w:rsidP="00860D86">
      <w:pPr>
        <w:spacing w:after="0"/>
        <w:rPr>
          <w:rFonts w:ascii="Arial" w:hAnsi="Arial" w:cs="Arial"/>
          <w:sz w:val="16"/>
          <w:szCs w:val="16"/>
        </w:rPr>
      </w:pPr>
    </w:p>
    <w:p w:rsidR="0040006D" w:rsidRPr="008550C5" w:rsidRDefault="0040006D" w:rsidP="0040006D">
      <w:pPr>
        <w:rPr>
          <w:rFonts w:ascii="Times New Roman" w:hAnsi="Times New Roman" w:cs="Times New Roman"/>
          <w:color w:val="000000" w:themeColor="text1"/>
          <w:szCs w:val="20"/>
        </w:rPr>
      </w:pPr>
      <w:r>
        <w:rPr>
          <w:rFonts w:ascii="Times New Roman" w:hAnsi="Times New Roman" w:cs="Times New Roman"/>
          <w:color w:val="000000" w:themeColor="text1"/>
          <w:szCs w:val="20"/>
        </w:rPr>
        <w:t>Fiskeriet efter makrel og sild i Østgrønland i 2021 foreslås forvaltet på baggrund af følge</w:t>
      </w:r>
      <w:r w:rsidRPr="008550C5">
        <w:rPr>
          <w:rFonts w:ascii="Times New Roman" w:hAnsi="Times New Roman" w:cs="Times New Roman"/>
          <w:color w:val="000000" w:themeColor="text1"/>
          <w:szCs w:val="20"/>
        </w:rPr>
        <w:t>nde punkter:</w:t>
      </w:r>
    </w:p>
    <w:p w:rsidR="0040006D" w:rsidRPr="008550C5" w:rsidRDefault="0040006D" w:rsidP="0040006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At fiskeriet efter makrel og sild forvaltes som et konventionelt fiskeri.</w:t>
      </w:r>
    </w:p>
    <w:p w:rsidR="0040006D" w:rsidRPr="008550C5" w:rsidRDefault="0040006D" w:rsidP="0040006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Det indstilles for makrel og sild at:</w:t>
      </w:r>
    </w:p>
    <w:p w:rsidR="0040006D" w:rsidRPr="008550C5" w:rsidRDefault="0040006D" w:rsidP="0040006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At der ikke nedsættes en arbejdsgruppe, som skal komme med forslag til kvotetildelinger for 2021</w:t>
      </w:r>
    </w:p>
    <w:p w:rsidR="0040006D" w:rsidRPr="008550C5" w:rsidRDefault="0040006D" w:rsidP="0040006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Det indstilles for makrel at:</w:t>
      </w:r>
    </w:p>
    <w:p w:rsidR="0040006D" w:rsidRPr="008550C5" w:rsidRDefault="0040006D" w:rsidP="0040006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60.000 tons af kvoten fordeles til selskaber med kvalificerede grønlandske fartøjer</w:t>
      </w:r>
      <w:r w:rsidRPr="008550C5">
        <w:rPr>
          <w:rStyle w:val="Fodnotehenvisning"/>
          <w:color w:val="000000" w:themeColor="text1"/>
        </w:rPr>
        <w:footnoteReference w:id="1"/>
      </w:r>
      <w:r w:rsidRPr="008550C5">
        <w:rPr>
          <w:rFonts w:ascii="Times New Roman" w:hAnsi="Times New Roman" w:cs="Times New Roman"/>
          <w:color w:val="000000" w:themeColor="text1"/>
        </w:rPr>
        <w:t xml:space="preserve">. Mængden fordeles ligeligt mellem de kvalificerede grønlandske fartøjer, som selskaberne har planer om at bruge i makrelfiskeriet i Østgrønland i 2021. </w:t>
      </w:r>
    </w:p>
    <w:p w:rsidR="0040006D" w:rsidRPr="008550C5" w:rsidRDefault="0040006D" w:rsidP="0040006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 xml:space="preserve">Maksimum 40 % per licens af den samlede fordelte mængde på 60.000 tons kan fiskes af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indchartrede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fartøjer. Dvs. maksimum 24.000 tons kan fiskes af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indchartede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fartøjer fra udlandet. Det er således kun de selskaber, der har grønlandske fartøjer der kan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indchartre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fartøjer til at opfiske deres kvote.</w:t>
      </w:r>
    </w:p>
    <w:p w:rsidR="0040006D" w:rsidRPr="008550C5" w:rsidRDefault="0040006D" w:rsidP="0040006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Maksimum 20 % af makrelkvoten i Østgrønland på 60.000 tons kan fiskes i internationalt farvand. Det vil sige maksimalt 12.000 tons makrel kan fiskes i international zone.  Fiskeriet er forbeholdt grønlandske fartøjer. Tidspunktet fiskeriet i international zone må foregå:</w:t>
      </w:r>
    </w:p>
    <w:p w:rsidR="0040006D" w:rsidRPr="008550C5" w:rsidRDefault="0040006D" w:rsidP="0040006D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Fra udstedelsen af licensen til og med 30. juni</w:t>
      </w:r>
    </w:p>
    <w:p w:rsidR="0040006D" w:rsidRPr="008550C5" w:rsidRDefault="0040006D" w:rsidP="0040006D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Igen fra den 1. september.</w:t>
      </w:r>
    </w:p>
    <w:p w:rsidR="0040006D" w:rsidRPr="008550C5" w:rsidRDefault="0040006D" w:rsidP="0040006D">
      <w:pPr>
        <w:pStyle w:val="Listeafsnit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Eller når et selskab har opfisket mindst 80 % af sin makrelkvote i grønlandsk zone, dog tidligst fra den 20. august.</w:t>
      </w:r>
    </w:p>
    <w:p w:rsidR="0040006D" w:rsidRPr="008550C5" w:rsidRDefault="0040006D" w:rsidP="0040006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 xml:space="preserve">Såfremt makrelkvoten i Østgrønland ikke er fuldt udnyttet den 1. september 2021 vil APN gennemføre en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refordeling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>, således fra restkvoten (maksimum 12.000 tons) tildeles en ligelig mængde til hvert grønlandsk fartøj i makrelfiskeriet, der ønsker at fiske makrel i international zone. Denne ligelige mængde afhænger af størrelsen på restkvoten og kan maksimum være 1.100 tons til hvert grønlandsk fartøj.</w:t>
      </w:r>
    </w:p>
    <w:p w:rsidR="0040006D" w:rsidRPr="008550C5" w:rsidRDefault="0040006D" w:rsidP="0040006D">
      <w:pPr>
        <w:pStyle w:val="Listeafsnit"/>
        <w:numPr>
          <w:ilvl w:val="1"/>
          <w:numId w:val="2"/>
        </w:numPr>
        <w:spacing w:line="264" w:lineRule="auto"/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 xml:space="preserve">Såfremt det er en restmængde efter tildelingen af den ligelige mængde til fartøjerne, der ønsker at fiske i internationalt farvand, vil restmængden stilles til side som reservekvote. Denne mængde kan APN tildeles til selskaber, der har opfisket den tildelte ligelige mængde i international zone. </w:t>
      </w:r>
    </w:p>
    <w:p w:rsidR="0040006D" w:rsidRPr="008550C5" w:rsidRDefault="0040006D" w:rsidP="0040006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lastRenderedPageBreak/>
        <w:t>Det indstilles for sild at:</w:t>
      </w:r>
    </w:p>
    <w:p w:rsidR="0040006D" w:rsidRPr="008550C5" w:rsidRDefault="0040006D" w:rsidP="0040006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>Sildekvoten forbeholdes de selskaber der får tildelt makrelkvote.</w:t>
      </w:r>
    </w:p>
    <w:p w:rsidR="0040006D" w:rsidRPr="008550C5" w:rsidRDefault="0040006D" w:rsidP="0040006D">
      <w:pPr>
        <w:pStyle w:val="Listeafsnit"/>
        <w:numPr>
          <w:ilvl w:val="1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550C5">
        <w:rPr>
          <w:rFonts w:ascii="Times New Roman" w:hAnsi="Times New Roman" w:cs="Times New Roman"/>
          <w:color w:val="000000" w:themeColor="text1"/>
        </w:rPr>
        <w:t>Maskimum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40 % per licens af den tildelte mængde af sild kan fiskes af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indchartrede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fartøjer. Det er således kun de selskaber, der har grønlandske fartøjer der kan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indchartre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yderligere fartøjer til at opfiske deres kvote.</w:t>
      </w:r>
    </w:p>
    <w:p w:rsidR="0040006D" w:rsidRPr="008550C5" w:rsidRDefault="0040006D" w:rsidP="0040006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8550C5">
        <w:rPr>
          <w:rFonts w:ascii="Times New Roman" w:hAnsi="Times New Roman" w:cs="Times New Roman"/>
          <w:color w:val="000000" w:themeColor="text1"/>
        </w:rPr>
        <w:t xml:space="preserve">At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indchartrede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fartøjer i makrel-, og sildefiskeriet skal være fra medlemslande i NAFO, NEAFC eller lande, der har tilsluttet sig Aftalen om havnestatsforanstaltninger, der skal forebygge, afværge og standse ulovligt,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urapporteret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og ureguleret fiskeri (IUU-fiskeri).</w:t>
      </w:r>
    </w:p>
    <w:p w:rsidR="0040006D" w:rsidRPr="008550C5" w:rsidRDefault="0040006D" w:rsidP="0040006D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proofErr w:type="spellStart"/>
      <w:r w:rsidRPr="008550C5">
        <w:rPr>
          <w:rFonts w:ascii="Times New Roman" w:hAnsi="Times New Roman" w:cs="Times New Roman"/>
          <w:color w:val="000000" w:themeColor="text1"/>
        </w:rPr>
        <w:t>Naalakkersuisoq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for Fiskeri og Fangst bemyndiges til, at </w:t>
      </w:r>
      <w:proofErr w:type="spellStart"/>
      <w:r w:rsidRPr="008550C5">
        <w:rPr>
          <w:rFonts w:ascii="Times New Roman" w:hAnsi="Times New Roman" w:cs="Times New Roman"/>
          <w:color w:val="000000" w:themeColor="text1"/>
        </w:rPr>
        <w:t>refordele</w:t>
      </w:r>
      <w:proofErr w:type="spellEnd"/>
      <w:r w:rsidRPr="008550C5">
        <w:rPr>
          <w:rFonts w:ascii="Times New Roman" w:hAnsi="Times New Roman" w:cs="Times New Roman"/>
          <w:color w:val="000000" w:themeColor="text1"/>
        </w:rPr>
        <w:t xml:space="preserve"> makrel-, og sildekvoter i løbet af sæsonen, hvis det bliver relevant.</w:t>
      </w:r>
    </w:p>
    <w:p w:rsidR="0040006D" w:rsidRPr="0040006D" w:rsidRDefault="0040006D" w:rsidP="00860D86">
      <w:pPr>
        <w:spacing w:after="0"/>
        <w:rPr>
          <w:rFonts w:ascii="Arial" w:hAnsi="Arial" w:cs="Arial"/>
          <w:sz w:val="16"/>
          <w:szCs w:val="16"/>
        </w:rPr>
      </w:pPr>
    </w:p>
    <w:p w:rsidR="00986E1B" w:rsidRPr="0040006D" w:rsidRDefault="00986E1B" w:rsidP="00B90514">
      <w:pPr>
        <w:spacing w:after="0"/>
        <w:rPr>
          <w:rFonts w:ascii="Arial" w:hAnsi="Arial" w:cs="Arial"/>
          <w:sz w:val="16"/>
          <w:szCs w:val="16"/>
        </w:rPr>
      </w:pPr>
    </w:p>
    <w:p w:rsidR="0040006D" w:rsidRPr="0040006D" w:rsidRDefault="0040006D" w:rsidP="0040006D">
      <w:pPr>
        <w:rPr>
          <w:rFonts w:ascii="Arial" w:hAnsi="Arial" w:cs="Arial"/>
          <w:sz w:val="20"/>
          <w:szCs w:val="20"/>
        </w:rPr>
      </w:pPr>
    </w:p>
    <w:p w:rsidR="0040006D" w:rsidRPr="0040006D" w:rsidRDefault="0040006D" w:rsidP="0040006D">
      <w:pPr>
        <w:rPr>
          <w:rFonts w:ascii="Arial" w:hAnsi="Arial" w:cs="Arial"/>
          <w:sz w:val="20"/>
          <w:szCs w:val="20"/>
        </w:rPr>
      </w:pPr>
    </w:p>
    <w:p w:rsidR="0040006D" w:rsidRPr="0040006D" w:rsidRDefault="0040006D" w:rsidP="0040006D">
      <w:pPr>
        <w:rPr>
          <w:rFonts w:ascii="Arial" w:hAnsi="Arial" w:cs="Arial"/>
          <w:sz w:val="20"/>
          <w:szCs w:val="20"/>
        </w:rPr>
      </w:pPr>
    </w:p>
    <w:p w:rsidR="0040006D" w:rsidRDefault="0040006D" w:rsidP="0040006D">
      <w:pPr>
        <w:rPr>
          <w:rFonts w:ascii="Arial" w:hAnsi="Arial" w:cs="Arial"/>
          <w:sz w:val="20"/>
          <w:szCs w:val="20"/>
        </w:rPr>
      </w:pPr>
    </w:p>
    <w:p w:rsidR="0040006D" w:rsidRDefault="0040006D" w:rsidP="0040006D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Inussiarnersumik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inuulluaqqusillunga</w:t>
      </w:r>
      <w:proofErr w:type="spellEnd"/>
    </w:p>
    <w:p w:rsidR="0040006D" w:rsidRDefault="0040006D" w:rsidP="0040006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 venlig hilsen</w:t>
      </w:r>
    </w:p>
    <w:p w:rsidR="0040006D" w:rsidRDefault="0040006D" w:rsidP="0040006D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0006D" w:rsidRDefault="0040006D" w:rsidP="0040006D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Jákup Emil Hansen</w:t>
      </w:r>
    </w:p>
    <w:p w:rsidR="0040006D" w:rsidRPr="0040006D" w:rsidRDefault="0040006D" w:rsidP="0040006D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16"/>
          <w:szCs w:val="16"/>
          <w:lang w:val="en-GB"/>
        </w:rPr>
        <w:t>Specialkonsulent</w:t>
      </w:r>
      <w:proofErr w:type="spellEnd"/>
    </w:p>
    <w:sectPr w:rsidR="0040006D" w:rsidRPr="0040006D" w:rsidSect="004402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D67" w:rsidRDefault="00BA4D67" w:rsidP="00FA2B29">
      <w:pPr>
        <w:spacing w:after="0" w:line="240" w:lineRule="auto"/>
      </w:pPr>
      <w:r>
        <w:separator/>
      </w:r>
    </w:p>
  </w:endnote>
  <w:endnote w:type="continuationSeparator" w:id="0">
    <w:p w:rsidR="00BA4D67" w:rsidRDefault="00BA4D67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7C" w:rsidRDefault="00895C7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667999"/>
      <w:docPartObj>
        <w:docPartGallery w:val="Page Numbers (Bottom of Page)"/>
        <w:docPartUnique/>
      </w:docPartObj>
    </w:sdtPr>
    <w:sdtEndPr/>
    <w:sdtContent>
      <w:p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0C5">
          <w:rPr>
            <w:noProof/>
          </w:rPr>
          <w:t>2</w:t>
        </w:r>
        <w:r>
          <w:fldChar w:fldCharType="end"/>
        </w:r>
      </w:p>
    </w:sdtContent>
  </w:sdt>
  <w:p w:rsidR="00874C50" w:rsidRDefault="00874C50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201982"/>
      <w:docPartObj>
        <w:docPartGallery w:val="Page Numbers (Bottom of Page)"/>
        <w:docPartUnique/>
      </w:docPartObj>
    </w:sdtPr>
    <w:sdtEndPr/>
    <w:sdtContent>
      <w:p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8550C5">
          <w:rPr>
            <w:noProof/>
          </w:rPr>
          <w:t>1</w:t>
        </w:r>
        <w:r>
          <w:fldChar w:fldCharType="end"/>
        </w:r>
      </w:p>
    </w:sdtContent>
  </w:sdt>
  <w:p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D67" w:rsidRDefault="00BA4D67" w:rsidP="00FA2B29">
      <w:pPr>
        <w:spacing w:after="0" w:line="240" w:lineRule="auto"/>
      </w:pPr>
      <w:r>
        <w:separator/>
      </w:r>
    </w:p>
  </w:footnote>
  <w:footnote w:type="continuationSeparator" w:id="0">
    <w:p w:rsidR="00BA4D67" w:rsidRDefault="00BA4D67" w:rsidP="00FA2B29">
      <w:pPr>
        <w:spacing w:after="0" w:line="240" w:lineRule="auto"/>
      </w:pPr>
      <w:r>
        <w:continuationSeparator/>
      </w:r>
    </w:p>
  </w:footnote>
  <w:footnote w:id="1">
    <w:p w:rsidR="0040006D" w:rsidRDefault="0040006D" w:rsidP="0040006D">
      <w:pPr>
        <w:pStyle w:val="Fodnotetekst"/>
        <w:rPr>
          <w:lang w:val="kl-GL"/>
        </w:rPr>
      </w:pPr>
      <w:r>
        <w:rPr>
          <w:rStyle w:val="Fodnotehenvisning"/>
        </w:rPr>
        <w:footnoteRef/>
      </w:r>
      <w:r>
        <w:t xml:space="preserve"> Kvalificerede grønlandske fartøjer defineres som pelagiske trawlere og frysetrawlere, der per 1. januar 2021 er godkendt af APN jævnfør Licensbekendtgørelsen §23.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7C" w:rsidRDefault="00895C7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7C" w:rsidRDefault="00895C7C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6D" w:rsidRDefault="00BA4D67" w:rsidP="00FA2B29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040CA4">
          <w:rPr>
            <w:noProof/>
            <w:lang w:eastAsia="da-DK"/>
          </w:rPr>
          <w:drawing>
            <wp:anchor distT="0" distB="0" distL="114300" distR="114300" simplePos="0" relativeHeight="251715584" behindDoc="1" locked="1" layoutInCell="1" allowOverlap="1" wp14:anchorId="0ABADB4D" wp14:editId="3D7BDBE2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5A226D">
      <w:t xml:space="preserve">   </w:t>
    </w:r>
  </w:p>
  <w:p w:rsidR="005A226D" w:rsidRPr="00AB566E" w:rsidRDefault="005A226D" w:rsidP="00FA2B2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53AF4ECF" wp14:editId="076F2FA6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C352C" w:rsidRPr="003F14E0">
      <w:t>Aalisarnermut</w:t>
    </w:r>
    <w:proofErr w:type="spellEnd"/>
    <w:r w:rsidR="004C352C" w:rsidRPr="003F14E0">
      <w:t xml:space="preserve"> </w:t>
    </w:r>
    <w:proofErr w:type="spellStart"/>
    <w:r w:rsidR="004C352C" w:rsidRPr="003F14E0">
      <w:t>Piniarnermu</w:t>
    </w:r>
    <w:r w:rsidR="00895C7C">
      <w:t>llu</w:t>
    </w:r>
    <w:proofErr w:type="spellEnd"/>
    <w:r w:rsidR="004C352C" w:rsidRPr="003F14E0">
      <w:t xml:space="preserve"> </w:t>
    </w:r>
    <w:proofErr w:type="spellStart"/>
    <w:r w:rsidR="004C352C" w:rsidRPr="003F14E0">
      <w:t>Naalakkersuisoqarfik</w:t>
    </w:r>
    <w:proofErr w:type="spellEnd"/>
  </w:p>
  <w:p w:rsidR="005A226D" w:rsidRDefault="007E01D0" w:rsidP="00895C7C">
    <w:pPr>
      <w:pStyle w:val="Lillev"/>
    </w:pPr>
    <w:r>
      <w:t>Departementet</w:t>
    </w:r>
    <w:r w:rsidR="004C352C">
      <w:t xml:space="preserve"> for Fiskeri</w:t>
    </w:r>
    <w:r w:rsidR="00895C7C">
      <w:t xml:space="preserve"> og Fangst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794A"/>
    <w:multiLevelType w:val="hybridMultilevel"/>
    <w:tmpl w:val="698EC9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B7443"/>
    <w:multiLevelType w:val="hybridMultilevel"/>
    <w:tmpl w:val="635C5D52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F9"/>
    <w:rsid w:val="00027D8E"/>
    <w:rsid w:val="00040CA4"/>
    <w:rsid w:val="00043F24"/>
    <w:rsid w:val="00120B0A"/>
    <w:rsid w:val="001B135D"/>
    <w:rsid w:val="001F3B9C"/>
    <w:rsid w:val="002467BD"/>
    <w:rsid w:val="002E55C8"/>
    <w:rsid w:val="0040006D"/>
    <w:rsid w:val="00400FE0"/>
    <w:rsid w:val="00402DF9"/>
    <w:rsid w:val="004402D4"/>
    <w:rsid w:val="00465A30"/>
    <w:rsid w:val="004C352C"/>
    <w:rsid w:val="005062CF"/>
    <w:rsid w:val="00582554"/>
    <w:rsid w:val="005A226D"/>
    <w:rsid w:val="006A4BB2"/>
    <w:rsid w:val="007D3B61"/>
    <w:rsid w:val="007E01D0"/>
    <w:rsid w:val="007F3259"/>
    <w:rsid w:val="008550C5"/>
    <w:rsid w:val="00860D86"/>
    <w:rsid w:val="00874C50"/>
    <w:rsid w:val="00895C7C"/>
    <w:rsid w:val="008A0FAF"/>
    <w:rsid w:val="008B5055"/>
    <w:rsid w:val="00923E90"/>
    <w:rsid w:val="00943261"/>
    <w:rsid w:val="00986E1B"/>
    <w:rsid w:val="009A4E91"/>
    <w:rsid w:val="009C02CA"/>
    <w:rsid w:val="00AC5738"/>
    <w:rsid w:val="00AD6333"/>
    <w:rsid w:val="00B75A84"/>
    <w:rsid w:val="00B8227D"/>
    <w:rsid w:val="00B90514"/>
    <w:rsid w:val="00BA4D67"/>
    <w:rsid w:val="00BC05B4"/>
    <w:rsid w:val="00C30FB6"/>
    <w:rsid w:val="00C63E01"/>
    <w:rsid w:val="00D041ED"/>
    <w:rsid w:val="00DD09CF"/>
    <w:rsid w:val="00EA4BEF"/>
    <w:rsid w:val="00EE48FC"/>
    <w:rsid w:val="00F43414"/>
    <w:rsid w:val="00FA2B29"/>
    <w:rsid w:val="00F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Notat">
    <w:name w:val="Notat"/>
    <w:basedOn w:val="Normal"/>
    <w:rsid w:val="002467BD"/>
    <w:pPr>
      <w:spacing w:after="0" w:line="280" w:lineRule="atLeast"/>
      <w:jc w:val="both"/>
    </w:pPr>
    <w:rPr>
      <w:rFonts w:ascii="Arial" w:eastAsia="Times New Roman" w:hAnsi="Arial" w:cs="Times New Roman"/>
      <w:b/>
      <w:sz w:val="28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00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0006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0006D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4000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Notat">
    <w:name w:val="Notat"/>
    <w:basedOn w:val="Normal"/>
    <w:rsid w:val="002467BD"/>
    <w:pPr>
      <w:spacing w:after="0" w:line="280" w:lineRule="atLeast"/>
      <w:jc w:val="both"/>
    </w:pPr>
    <w:rPr>
      <w:rFonts w:ascii="Arial" w:eastAsia="Times New Roman" w:hAnsi="Arial" w:cs="Times New Roman"/>
      <w:b/>
      <w:sz w:val="28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00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0006D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40006D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4000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eh\AppData\Local\cBrain\F2\.tmp\40c2835cccf94803aecac8f4e7f598ff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8913-F597-4911-99A9-1CEDE0E9A92D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0A65DB13-0A85-4ED7-B981-907CC39B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40c2835cccf94803aecac8f4e7f598ff</Template>
  <TotalTime>52</TotalTime>
  <Pages>2</Pages>
  <Words>444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Jakup Emil Hansen</dc:creator>
  <cp:lastModifiedBy>Jakup Emil Hansen</cp:lastModifiedBy>
  <cp:revision>4</cp:revision>
  <dcterms:created xsi:type="dcterms:W3CDTF">2021-05-10T15:17:00Z</dcterms:created>
  <dcterms:modified xsi:type="dcterms:W3CDTF">2021-05-14T18:10:00Z</dcterms:modified>
</cp:coreProperties>
</file>