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1155862" w14:textId="77777777" w:rsidR="000D663C" w:rsidRDefault="000D663C" w:rsidP="00E7646A">
      <w:pPr>
        <w:spacing w:after="0"/>
        <w:ind w:right="-1532"/>
        <w:jc w:val="both"/>
        <w:rPr>
          <w:rFonts w:ascii="Arial" w:hAnsi="Arial" w:cs="Arial"/>
          <w:sz w:val="20"/>
          <w:szCs w:val="20"/>
        </w:rPr>
      </w:pPr>
    </w:p>
    <w:tbl>
      <w:tblPr>
        <w:tblStyle w:val="Tabel-Git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824"/>
      </w:tblGrid>
      <w:tr w:rsidR="000D663C" w14:paraId="08648205" w14:textId="77777777" w:rsidTr="006C558F">
        <w:trPr>
          <w:trHeight w:val="730"/>
        </w:trPr>
        <w:tc>
          <w:tcPr>
            <w:tcW w:w="7825" w:type="dxa"/>
          </w:tcPr>
          <w:p w14:paraId="1AEC783A" w14:textId="19F589E6" w:rsidR="000D663C" w:rsidRPr="00B75A84" w:rsidRDefault="008A1762" w:rsidP="00E7646A">
            <w:pPr>
              <w:ind w:right="-1532"/>
              <w:rPr>
                <w:rFonts w:ascii="Arial" w:hAnsi="Arial" w:cs="Arial"/>
                <w:sz w:val="20"/>
                <w:szCs w:val="20"/>
              </w:rPr>
            </w:pPr>
            <w:r w:rsidRPr="008A1762">
              <w:rPr>
                <w:rFonts w:ascii="Arial" w:hAnsi="Arial" w:cs="Arial"/>
                <w:b/>
                <w:bCs/>
                <w:sz w:val="20"/>
                <w:szCs w:val="20"/>
              </w:rPr>
              <w:t>Fiskerirådet og tilforordnede</w:t>
            </w:r>
            <w:r w:rsidR="000D663C" w:rsidRPr="00B75A84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6190BB0B" w14:textId="0F89A45A" w:rsidR="000D663C" w:rsidRDefault="000D663C" w:rsidP="00E7646A">
            <w:pPr>
              <w:ind w:right="-1532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D663C" w14:paraId="389774E8" w14:textId="77777777" w:rsidTr="00C83C2D">
        <w:tc>
          <w:tcPr>
            <w:tcW w:w="7825" w:type="dxa"/>
          </w:tcPr>
          <w:p w14:paraId="12DCB84F" w14:textId="06D8584F" w:rsidR="000D663C" w:rsidRPr="00674932" w:rsidRDefault="006C558F" w:rsidP="00E7646A">
            <w:pPr>
              <w:ind w:right="-1532"/>
              <w:rPr>
                <w:rFonts w:ascii="Arial" w:hAnsi="Arial" w:cs="Arial"/>
                <w:b/>
                <w:sz w:val="28"/>
                <w:szCs w:val="28"/>
              </w:rPr>
            </w:pPr>
            <w:r w:rsidRPr="00674932">
              <w:rPr>
                <w:rFonts w:ascii="Arial" w:hAnsi="Arial" w:cs="Arial"/>
                <w:b/>
                <w:sz w:val="28"/>
                <w:szCs w:val="28"/>
              </w:rPr>
              <w:t>HØRING – TAC for visse kystnære arter for 2022</w:t>
            </w:r>
          </w:p>
        </w:tc>
      </w:tr>
    </w:tbl>
    <w:p w14:paraId="256CC9B1" w14:textId="77777777" w:rsidR="00EC1E59" w:rsidRPr="000D663C" w:rsidRDefault="00EC1E59" w:rsidP="00E7646A">
      <w:pPr>
        <w:spacing w:after="0"/>
        <w:ind w:right="-1532"/>
        <w:jc w:val="both"/>
        <w:rPr>
          <w:rFonts w:ascii="Arial" w:hAnsi="Arial" w:cs="Arial"/>
          <w:sz w:val="20"/>
          <w:szCs w:val="20"/>
        </w:rPr>
      </w:pPr>
    </w:p>
    <w:p w14:paraId="21DE6C4E" w14:textId="7FA46247" w:rsidR="00223225" w:rsidRPr="00223225" w:rsidRDefault="006C558F" w:rsidP="00E7646A">
      <w:pPr>
        <w:ind w:right="-1532"/>
        <w:jc w:val="both"/>
        <w:rPr>
          <w:rFonts w:ascii="Times New Roman" w:hAnsi="Times New Roman" w:cs="Times New Roman"/>
        </w:rPr>
      </w:pPr>
      <w:r w:rsidRPr="00223225">
        <w:rPr>
          <w:rFonts w:ascii="Times New Roman" w:hAnsi="Times New Roman" w:cs="Times New Roman"/>
        </w:rPr>
        <w:t>Herved foreligger høringsbrev vedrørende fastsættelse af TAC for visse kystnære arter som omfatter følgende arter; hellefisk, torsk</w:t>
      </w:r>
      <w:r w:rsidR="00223225" w:rsidRPr="00223225">
        <w:rPr>
          <w:rFonts w:ascii="Times New Roman" w:hAnsi="Times New Roman" w:cs="Times New Roman"/>
        </w:rPr>
        <w:t>, stenbider og kammuslinger med de</w:t>
      </w:r>
      <w:r w:rsidR="00223225">
        <w:rPr>
          <w:rFonts w:ascii="Times New Roman" w:hAnsi="Times New Roman" w:cs="Times New Roman"/>
        </w:rPr>
        <w:t>r</w:t>
      </w:r>
      <w:r w:rsidR="001251A4">
        <w:rPr>
          <w:rFonts w:ascii="Times New Roman" w:hAnsi="Times New Roman" w:cs="Times New Roman"/>
        </w:rPr>
        <w:t>til</w:t>
      </w:r>
      <w:r w:rsidR="00223225" w:rsidRPr="00223225">
        <w:rPr>
          <w:rFonts w:ascii="Times New Roman" w:hAnsi="Times New Roman" w:cs="Times New Roman"/>
        </w:rPr>
        <w:t>hørende bemærkninger. Et overblik over forslag til fastsættelse af arterne er vedlagt i bilag 1.</w:t>
      </w:r>
    </w:p>
    <w:p w14:paraId="1F19FA65" w14:textId="7CCEEAE0" w:rsidR="00223225" w:rsidRDefault="00223225" w:rsidP="00E7646A">
      <w:pPr>
        <w:ind w:right="-1532"/>
        <w:jc w:val="both"/>
        <w:rPr>
          <w:rFonts w:ascii="Times New Roman" w:hAnsi="Times New Roman" w:cs="Times New Roman"/>
        </w:rPr>
      </w:pPr>
      <w:r w:rsidRPr="00223225">
        <w:rPr>
          <w:rFonts w:ascii="Times New Roman" w:hAnsi="Times New Roman" w:cs="Times New Roman"/>
        </w:rPr>
        <w:t>Når rådgivningen for krabber forelægger fremsendes forslag til TAC i høring.</w:t>
      </w:r>
    </w:p>
    <w:p w14:paraId="291593A7" w14:textId="04BE8EF8" w:rsidR="009159A9" w:rsidRPr="009159A9" w:rsidRDefault="009159A9" w:rsidP="00E7646A">
      <w:pPr>
        <w:ind w:right="-1532"/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Deadline for høringssvar på dansk og grønlandsk d</w:t>
      </w:r>
      <w:r w:rsidRPr="00BC13B3">
        <w:rPr>
          <w:rFonts w:ascii="Times New Roman" w:hAnsi="Times New Roman" w:cs="Times New Roman"/>
          <w:b/>
        </w:rPr>
        <w:t xml:space="preserve">. </w:t>
      </w:r>
      <w:r w:rsidR="009C7B11" w:rsidRPr="00BC13B3">
        <w:rPr>
          <w:rFonts w:ascii="Times New Roman" w:hAnsi="Times New Roman" w:cs="Times New Roman"/>
          <w:b/>
        </w:rPr>
        <w:t>19/11</w:t>
      </w:r>
      <w:r>
        <w:rPr>
          <w:rFonts w:ascii="Times New Roman" w:hAnsi="Times New Roman" w:cs="Times New Roman"/>
          <w:b/>
        </w:rPr>
        <w:t xml:space="preserve"> til </w:t>
      </w:r>
      <w:hyperlink r:id="rId9" w:history="1">
        <w:r w:rsidRPr="00B562A9">
          <w:rPr>
            <w:rStyle w:val="Hyperlink"/>
            <w:rFonts w:ascii="Times New Roman" w:hAnsi="Times New Roman" w:cs="Times New Roman"/>
            <w:b/>
          </w:rPr>
          <w:t>apn@nanoq.gl</w:t>
        </w:r>
      </w:hyperlink>
      <w:r>
        <w:rPr>
          <w:rFonts w:ascii="Times New Roman" w:hAnsi="Times New Roman" w:cs="Times New Roman"/>
          <w:b/>
        </w:rPr>
        <w:t xml:space="preserve"> </w:t>
      </w:r>
    </w:p>
    <w:p w14:paraId="5AE2C895" w14:textId="4D5EC302" w:rsidR="00223225" w:rsidRPr="00223225" w:rsidRDefault="00223225" w:rsidP="00E7646A">
      <w:pPr>
        <w:keepNext/>
        <w:keepLines/>
        <w:pBdr>
          <w:bottom w:val="single" w:sz="4" w:space="1" w:color="auto"/>
        </w:pBdr>
        <w:spacing w:after="240"/>
        <w:ind w:right="-1532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 w:rsidRPr="00223225">
        <w:rPr>
          <w:rFonts w:ascii="Times New Roman" w:eastAsiaTheme="majorEastAsia" w:hAnsi="Times New Roman" w:cs="Times New Roman"/>
          <w:b/>
          <w:bCs/>
        </w:rPr>
        <w:t>Torsk</w:t>
      </w:r>
    </w:p>
    <w:p w14:paraId="745984F7" w14:textId="6FFEE421" w:rsidR="00887786" w:rsidRPr="009C5A10" w:rsidRDefault="00AA5349" w:rsidP="00E7646A">
      <w:pPr>
        <w:ind w:right="-1532"/>
        <w:jc w:val="both"/>
        <w:rPr>
          <w:rFonts w:ascii="Times New Roman" w:hAnsi="Times New Roman" w:cs="Times New Roman"/>
        </w:rPr>
      </w:pPr>
      <w:r w:rsidRPr="009C5A10">
        <w:rPr>
          <w:rFonts w:ascii="Times New Roman" w:hAnsi="Times New Roman" w:cs="Times New Roman"/>
        </w:rPr>
        <w:t>Den videnskabelige rådgivning for den kystnære torskebestand i</w:t>
      </w:r>
      <w:r w:rsidR="00887786" w:rsidRPr="009C5A10">
        <w:rPr>
          <w:rFonts w:ascii="Times New Roman" w:hAnsi="Times New Roman" w:cs="Times New Roman"/>
        </w:rPr>
        <w:t xml:space="preserve"> 202</w:t>
      </w:r>
      <w:r w:rsidR="00900EDD" w:rsidRPr="009C5A10">
        <w:rPr>
          <w:rFonts w:ascii="Times New Roman" w:hAnsi="Times New Roman" w:cs="Times New Roman"/>
        </w:rPr>
        <w:t>2</w:t>
      </w:r>
      <w:r w:rsidR="00887786" w:rsidRPr="009C5A10">
        <w:rPr>
          <w:rFonts w:ascii="Times New Roman" w:hAnsi="Times New Roman" w:cs="Times New Roman"/>
        </w:rPr>
        <w:t xml:space="preserve"> er på</w:t>
      </w:r>
      <w:r w:rsidR="009C5A10" w:rsidRPr="009C5A10">
        <w:rPr>
          <w:rFonts w:ascii="Times New Roman" w:hAnsi="Times New Roman" w:cs="Times New Roman"/>
        </w:rPr>
        <w:t xml:space="preserve"> 4.780 tons.</w:t>
      </w:r>
      <w:r w:rsidR="00887786" w:rsidRPr="009C5A10">
        <w:rPr>
          <w:rFonts w:ascii="Times New Roman" w:hAnsi="Times New Roman" w:cs="Times New Roman"/>
        </w:rPr>
        <w:t xml:space="preserve"> Overordnet set vurderer ICES, at fiskeritrykket på den kystnære bestand er for højt og bør reduceres markant.</w:t>
      </w:r>
    </w:p>
    <w:p w14:paraId="1457EA60" w14:textId="0A92106D" w:rsidR="00AA5349" w:rsidRPr="009C5A10" w:rsidRDefault="00AA5349" w:rsidP="00E7646A">
      <w:pPr>
        <w:ind w:right="-1532"/>
        <w:jc w:val="both"/>
        <w:rPr>
          <w:rFonts w:ascii="Times New Roman" w:hAnsi="Times New Roman" w:cs="Times New Roman"/>
        </w:rPr>
      </w:pPr>
      <w:r w:rsidRPr="009C5A10">
        <w:rPr>
          <w:rFonts w:ascii="Times New Roman" w:hAnsi="Times New Roman" w:cs="Times New Roman"/>
        </w:rPr>
        <w:t>Det indenskærs fiskeri foregår på en blanding af torsk fra indenskærs bestan</w:t>
      </w:r>
      <w:r w:rsidR="002B6145">
        <w:rPr>
          <w:rFonts w:ascii="Times New Roman" w:hAnsi="Times New Roman" w:cs="Times New Roman"/>
        </w:rPr>
        <w:t>den og torsk fra andre bestande</w:t>
      </w:r>
      <w:r w:rsidRPr="009C5A10">
        <w:rPr>
          <w:rFonts w:ascii="Times New Roman" w:hAnsi="Times New Roman" w:cs="Times New Roman"/>
        </w:rPr>
        <w:t>, der midlertidigt opholder sig indenskærs. Grønlands Naturinstitut vurderer, at kun halvdelen af den totale fangst i det indenskærs område udgøres af torsk fra den indenskærs bestand.</w:t>
      </w:r>
    </w:p>
    <w:p w14:paraId="576F8FAA" w14:textId="20760F42" w:rsidR="00887786" w:rsidRDefault="00887786" w:rsidP="009C5A10">
      <w:pPr>
        <w:ind w:right="-1532"/>
        <w:jc w:val="both"/>
        <w:rPr>
          <w:rFonts w:ascii="Times New Roman" w:hAnsi="Times New Roman" w:cs="Times New Roman"/>
        </w:rPr>
      </w:pPr>
      <w:r w:rsidRPr="009C5A10">
        <w:rPr>
          <w:rFonts w:ascii="Times New Roman" w:hAnsi="Times New Roman" w:cs="Times New Roman"/>
        </w:rPr>
        <w:t xml:space="preserve">Derfor vurderer GN, at et fiskeri på </w:t>
      </w:r>
      <w:r w:rsidR="00AA5349" w:rsidRPr="009C5A10">
        <w:rPr>
          <w:rFonts w:ascii="Times New Roman" w:hAnsi="Times New Roman" w:cs="Times New Roman"/>
        </w:rPr>
        <w:t>9.560 tons</w:t>
      </w:r>
      <w:r w:rsidRPr="009C5A10">
        <w:rPr>
          <w:rFonts w:ascii="Times New Roman" w:hAnsi="Times New Roman" w:cs="Times New Roman"/>
        </w:rPr>
        <w:t xml:space="preserve"> i det kystnære område svarer til et fiskeri på</w:t>
      </w:r>
      <w:r w:rsidR="00AA5349" w:rsidRPr="009C5A10">
        <w:rPr>
          <w:rFonts w:ascii="Times New Roman" w:hAnsi="Times New Roman" w:cs="Times New Roman"/>
        </w:rPr>
        <w:t xml:space="preserve"> den kystnære bestand på</w:t>
      </w:r>
      <w:r w:rsidRPr="009C5A10">
        <w:rPr>
          <w:rFonts w:ascii="Times New Roman" w:hAnsi="Times New Roman" w:cs="Times New Roman"/>
        </w:rPr>
        <w:t xml:space="preserve"> </w:t>
      </w:r>
      <w:r w:rsidR="00764D04" w:rsidRPr="009C5A10">
        <w:rPr>
          <w:rFonts w:ascii="Times New Roman" w:hAnsi="Times New Roman" w:cs="Times New Roman"/>
        </w:rPr>
        <w:t>4.780 t</w:t>
      </w:r>
      <w:r w:rsidR="00AA5349" w:rsidRPr="009C5A10">
        <w:rPr>
          <w:rFonts w:ascii="Times New Roman" w:hAnsi="Times New Roman" w:cs="Times New Roman"/>
        </w:rPr>
        <w:t>ons</w:t>
      </w:r>
      <w:r w:rsidRPr="009C5A10">
        <w:rPr>
          <w:rFonts w:ascii="Times New Roman" w:hAnsi="Times New Roman" w:cs="Times New Roman"/>
        </w:rPr>
        <w:t xml:space="preserve">. </w:t>
      </w:r>
    </w:p>
    <w:tbl>
      <w:tblPr>
        <w:tblStyle w:val="Listetabel6-farverig1"/>
        <w:tblW w:w="9673" w:type="dxa"/>
        <w:tblLook w:val="04A0" w:firstRow="1" w:lastRow="0" w:firstColumn="1" w:lastColumn="0" w:noHBand="0" w:noVBand="1"/>
      </w:tblPr>
      <w:tblGrid>
        <w:gridCol w:w="2188"/>
        <w:gridCol w:w="1377"/>
        <w:gridCol w:w="1377"/>
        <w:gridCol w:w="1029"/>
        <w:gridCol w:w="901"/>
        <w:gridCol w:w="950"/>
        <w:gridCol w:w="950"/>
        <w:gridCol w:w="901"/>
      </w:tblGrid>
      <w:tr w:rsidR="00F41686" w:rsidRPr="00B47ACA" w14:paraId="5A8889AD" w14:textId="14766269" w:rsidTr="00F4168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gridSpan w:val="7"/>
            <w:noWrap/>
          </w:tcPr>
          <w:p w14:paraId="43CE4060" w14:textId="77777777" w:rsidR="00EE4879" w:rsidRPr="002C7FD2" w:rsidRDefault="00EE4879" w:rsidP="00BE5E87">
            <w:pPr>
              <w:tabs>
                <w:tab w:val="left" w:pos="-1134"/>
                <w:tab w:val="left" w:pos="-567"/>
                <w:tab w:val="left" w:pos="0"/>
                <w:tab w:val="left" w:pos="566"/>
                <w:tab w:val="left" w:pos="1134"/>
                <w:tab w:val="left" w:pos="1700"/>
                <w:tab w:val="left" w:pos="2266"/>
                <w:tab w:val="left" w:pos="2834"/>
                <w:tab w:val="left" w:pos="3400"/>
                <w:tab w:val="left" w:pos="3968"/>
                <w:tab w:val="left" w:pos="4534"/>
                <w:tab w:val="left" w:pos="5102"/>
                <w:tab w:val="left" w:pos="5668"/>
                <w:tab w:val="left" w:pos="6236"/>
                <w:tab w:val="left" w:pos="6802"/>
                <w:tab w:val="left" w:pos="7369"/>
                <w:tab w:val="left" w:pos="7936"/>
                <w:tab w:val="left" w:pos="8503"/>
                <w:tab w:val="left" w:pos="9070"/>
              </w:tabs>
              <w:spacing w:line="360" w:lineRule="auto"/>
              <w:jc w:val="both"/>
            </w:pPr>
            <w:r w:rsidRPr="002C7FD2">
              <w:t>Tabel 1. Oversigt over kystnært fiskeri efter torsk i Vestgrønland (tons)</w:t>
            </w:r>
          </w:p>
        </w:tc>
        <w:tc>
          <w:tcPr>
            <w:tcW w:w="90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CAA00C8" w14:textId="77777777" w:rsidR="00F41686" w:rsidRPr="00B47ACA" w:rsidRDefault="00F41686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1686" w:rsidRPr="00B47ACA" w14:paraId="0281E68B" w14:textId="5893C93D" w:rsidTr="00F4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431693C7" w14:textId="77777777" w:rsidR="00F41686" w:rsidRPr="002C7FD2" w:rsidRDefault="00F41686" w:rsidP="00F41686">
            <w:pPr>
              <w:rPr>
                <w:b w:val="0"/>
                <w:bCs w:val="0"/>
              </w:rPr>
            </w:pPr>
          </w:p>
        </w:tc>
        <w:tc>
          <w:tcPr>
            <w:tcW w:w="0" w:type="auto"/>
            <w:noWrap/>
          </w:tcPr>
          <w:p w14:paraId="543022A4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7FD2">
              <w:rPr>
                <w:b/>
                <w:bCs/>
              </w:rPr>
              <w:t>2015</w:t>
            </w:r>
          </w:p>
        </w:tc>
        <w:tc>
          <w:tcPr>
            <w:tcW w:w="0" w:type="auto"/>
            <w:noWrap/>
          </w:tcPr>
          <w:p w14:paraId="55ADD640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7FD2">
              <w:rPr>
                <w:b/>
                <w:bCs/>
              </w:rPr>
              <w:t>2016</w:t>
            </w:r>
          </w:p>
        </w:tc>
        <w:tc>
          <w:tcPr>
            <w:tcW w:w="0" w:type="auto"/>
            <w:noWrap/>
          </w:tcPr>
          <w:p w14:paraId="09014BF1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7FD2">
              <w:rPr>
                <w:b/>
                <w:bCs/>
              </w:rPr>
              <w:t>2017</w:t>
            </w:r>
          </w:p>
        </w:tc>
        <w:tc>
          <w:tcPr>
            <w:tcW w:w="0" w:type="auto"/>
            <w:noWrap/>
          </w:tcPr>
          <w:p w14:paraId="11CB053D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7FD2">
              <w:rPr>
                <w:b/>
                <w:bCs/>
              </w:rPr>
              <w:t>2018</w:t>
            </w:r>
          </w:p>
        </w:tc>
        <w:tc>
          <w:tcPr>
            <w:tcW w:w="0" w:type="auto"/>
            <w:noWrap/>
          </w:tcPr>
          <w:p w14:paraId="3494C0D7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7FD2">
              <w:rPr>
                <w:b/>
                <w:bCs/>
              </w:rPr>
              <w:t>2019</w:t>
            </w:r>
          </w:p>
        </w:tc>
        <w:tc>
          <w:tcPr>
            <w:tcW w:w="0" w:type="auto"/>
            <w:noWrap/>
          </w:tcPr>
          <w:p w14:paraId="49B6BD1D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7FD2">
              <w:rPr>
                <w:b/>
                <w:bCs/>
              </w:rPr>
              <w:t>2020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389C1BBA" w14:textId="3E7F8B2D" w:rsidR="00F41686" w:rsidRPr="00B47ACA" w:rsidRDefault="00D91802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rPr>
                <w:b/>
                <w:bCs/>
              </w:rPr>
              <w:t>2021</w:t>
            </w:r>
          </w:p>
        </w:tc>
      </w:tr>
      <w:tr w:rsidR="00F41686" w:rsidRPr="00B47ACA" w14:paraId="77E2B7F3" w14:textId="5A4E67CB" w:rsidTr="00F416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C761047" w14:textId="77777777" w:rsidR="00F41686" w:rsidRPr="002C7FD2" w:rsidRDefault="00F41686" w:rsidP="00F41686">
            <w:pPr>
              <w:rPr>
                <w:b w:val="0"/>
                <w:bCs w:val="0"/>
              </w:rPr>
            </w:pPr>
            <w:r w:rsidRPr="002C7FD2">
              <w:t>Rådgivning</w:t>
            </w:r>
          </w:p>
        </w:tc>
        <w:tc>
          <w:tcPr>
            <w:tcW w:w="0" w:type="auto"/>
            <w:noWrap/>
            <w:hideMark/>
          </w:tcPr>
          <w:p w14:paraId="685B4CF5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 xml:space="preserve">          12.379 </w:t>
            </w:r>
          </w:p>
        </w:tc>
        <w:tc>
          <w:tcPr>
            <w:tcW w:w="0" w:type="auto"/>
            <w:noWrap/>
            <w:hideMark/>
          </w:tcPr>
          <w:p w14:paraId="11A449B2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 xml:space="preserve">        12.379 </w:t>
            </w:r>
          </w:p>
        </w:tc>
        <w:tc>
          <w:tcPr>
            <w:tcW w:w="0" w:type="auto"/>
            <w:noWrap/>
            <w:hideMark/>
          </w:tcPr>
          <w:p w14:paraId="66ABDA59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 xml:space="preserve">    12.379 </w:t>
            </w:r>
          </w:p>
        </w:tc>
        <w:tc>
          <w:tcPr>
            <w:tcW w:w="0" w:type="auto"/>
            <w:noWrap/>
            <w:hideMark/>
          </w:tcPr>
          <w:p w14:paraId="69E47A5F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13.952</w:t>
            </w:r>
          </w:p>
        </w:tc>
        <w:tc>
          <w:tcPr>
            <w:tcW w:w="0" w:type="auto"/>
            <w:noWrap/>
            <w:hideMark/>
          </w:tcPr>
          <w:p w14:paraId="7D3779E1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 xml:space="preserve">14.500 </w:t>
            </w:r>
          </w:p>
        </w:tc>
        <w:tc>
          <w:tcPr>
            <w:tcW w:w="0" w:type="auto"/>
            <w:noWrap/>
            <w:hideMark/>
          </w:tcPr>
          <w:p w14:paraId="544BB81B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 xml:space="preserve">11.000 </w:t>
            </w:r>
          </w:p>
        </w:tc>
        <w:tc>
          <w:tcPr>
            <w:tcW w:w="0" w:type="auto"/>
          </w:tcPr>
          <w:p w14:paraId="0CF0AD84" w14:textId="7C5F08F9" w:rsidR="00F41686" w:rsidRPr="00B47ACA" w:rsidRDefault="00F41686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 xml:space="preserve"> </w:t>
            </w:r>
          </w:p>
        </w:tc>
      </w:tr>
      <w:tr w:rsidR="00F41686" w:rsidRPr="00B47ACA" w14:paraId="6A3FB1C6" w14:textId="35D0FB22" w:rsidTr="00F4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4FB7E4CE" w14:textId="77777777" w:rsidR="00F41686" w:rsidRPr="002C7FD2" w:rsidRDefault="00F41686" w:rsidP="00F41686">
            <w:pPr>
              <w:rPr>
                <w:b w:val="0"/>
                <w:bCs w:val="0"/>
              </w:rPr>
            </w:pPr>
            <w:r w:rsidRPr="002C7FD2">
              <w:t>TAC</w:t>
            </w:r>
          </w:p>
        </w:tc>
        <w:tc>
          <w:tcPr>
            <w:tcW w:w="0" w:type="auto"/>
            <w:noWrap/>
            <w:hideMark/>
          </w:tcPr>
          <w:p w14:paraId="5CD192AB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 xml:space="preserve">           25.000 </w:t>
            </w:r>
          </w:p>
        </w:tc>
        <w:tc>
          <w:tcPr>
            <w:tcW w:w="0" w:type="auto"/>
            <w:noWrap/>
            <w:hideMark/>
          </w:tcPr>
          <w:p w14:paraId="6EF4902C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 xml:space="preserve"> 26.000</w:t>
            </w:r>
            <w:r w:rsidRPr="002C7FD2">
              <w:rPr>
                <w:vertAlign w:val="superscript"/>
              </w:rPr>
              <w:t>1</w:t>
            </w:r>
            <w:r w:rsidRPr="002C7FD2">
              <w:t xml:space="preserve"> </w:t>
            </w:r>
          </w:p>
        </w:tc>
        <w:tc>
          <w:tcPr>
            <w:tcW w:w="0" w:type="auto"/>
            <w:noWrap/>
            <w:hideMark/>
          </w:tcPr>
          <w:p w14:paraId="374BD0F6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36.500</w:t>
            </w:r>
            <w:r w:rsidRPr="002C7FD2">
              <w:rPr>
                <w:vertAlign w:val="superscript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729C3346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36.500</w:t>
            </w:r>
            <w:r w:rsidRPr="002C7FD2">
              <w:rPr>
                <w:vertAlign w:val="superscript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6D67F053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 xml:space="preserve"> 30.000</w:t>
            </w:r>
            <w:r w:rsidRPr="002C7FD2">
              <w:rPr>
                <w:vertAlign w:val="superscript"/>
              </w:rPr>
              <w:t>2</w:t>
            </w:r>
          </w:p>
        </w:tc>
        <w:tc>
          <w:tcPr>
            <w:tcW w:w="0" w:type="auto"/>
            <w:noWrap/>
            <w:hideMark/>
          </w:tcPr>
          <w:p w14:paraId="477B8F92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 xml:space="preserve"> 30.000</w:t>
            </w:r>
            <w:r w:rsidRPr="002C7FD2">
              <w:rPr>
                <w:vertAlign w:val="superscript"/>
              </w:rPr>
              <w:t>2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2D3F0638" w14:textId="7240992F" w:rsidR="00F41686" w:rsidRPr="00B47ACA" w:rsidRDefault="002B6145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21.000</w:t>
            </w:r>
            <w:r w:rsidRPr="002B6145">
              <w:rPr>
                <w:vertAlign w:val="superscript"/>
              </w:rPr>
              <w:t>1</w:t>
            </w:r>
          </w:p>
        </w:tc>
      </w:tr>
      <w:tr w:rsidR="00F41686" w:rsidRPr="00B47ACA" w14:paraId="1FE4BB7F" w14:textId="1D70E0B6" w:rsidTr="00F416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893DBB0" w14:textId="77777777" w:rsidR="00F41686" w:rsidRPr="002C7FD2" w:rsidRDefault="00F41686" w:rsidP="00F41686">
            <w:pPr>
              <w:rPr>
                <w:b w:val="0"/>
                <w:bCs w:val="0"/>
              </w:rPr>
            </w:pPr>
            <w:r w:rsidRPr="002C7FD2">
              <w:t>Ekstra kvote</w:t>
            </w:r>
          </w:p>
        </w:tc>
        <w:tc>
          <w:tcPr>
            <w:tcW w:w="0" w:type="auto"/>
            <w:noWrap/>
            <w:hideMark/>
          </w:tcPr>
          <w:p w14:paraId="4B5FB1D9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2.500</w:t>
            </w:r>
          </w:p>
        </w:tc>
        <w:tc>
          <w:tcPr>
            <w:tcW w:w="0" w:type="auto"/>
            <w:hideMark/>
          </w:tcPr>
          <w:p w14:paraId="3136B38A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8.000+1.400</w:t>
            </w:r>
          </w:p>
        </w:tc>
        <w:tc>
          <w:tcPr>
            <w:tcW w:w="0" w:type="auto"/>
            <w:hideMark/>
          </w:tcPr>
          <w:p w14:paraId="1A928994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 </w:t>
            </w:r>
          </w:p>
        </w:tc>
        <w:tc>
          <w:tcPr>
            <w:tcW w:w="0" w:type="auto"/>
            <w:hideMark/>
          </w:tcPr>
          <w:p w14:paraId="02B4C172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 </w:t>
            </w:r>
          </w:p>
        </w:tc>
        <w:tc>
          <w:tcPr>
            <w:tcW w:w="0" w:type="auto"/>
            <w:hideMark/>
          </w:tcPr>
          <w:p w14:paraId="6B6DDB3F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 </w:t>
            </w:r>
          </w:p>
        </w:tc>
        <w:tc>
          <w:tcPr>
            <w:tcW w:w="0" w:type="auto"/>
            <w:hideMark/>
          </w:tcPr>
          <w:p w14:paraId="7080FFDD" w14:textId="77777777" w:rsidR="00F41686" w:rsidRPr="002C7FD2" w:rsidRDefault="00F41686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0" w:type="auto"/>
          </w:tcPr>
          <w:p w14:paraId="0E696091" w14:textId="77777777" w:rsidR="00F41686" w:rsidRPr="00B47ACA" w:rsidRDefault="00F41686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F41686" w:rsidRPr="00B47ACA" w14:paraId="15A6C923" w14:textId="7BAA41DC" w:rsidTr="00F4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  <w:hideMark/>
          </w:tcPr>
          <w:p w14:paraId="24F9B481" w14:textId="77777777" w:rsidR="00F41686" w:rsidRPr="002C7FD2" w:rsidRDefault="00F41686" w:rsidP="00F41686">
            <w:pPr>
              <w:rPr>
                <w:b w:val="0"/>
                <w:bCs w:val="0"/>
              </w:rPr>
            </w:pPr>
            <w:r w:rsidRPr="002C7FD2">
              <w:t>Endelig TAC</w:t>
            </w:r>
          </w:p>
        </w:tc>
        <w:tc>
          <w:tcPr>
            <w:tcW w:w="0" w:type="auto"/>
            <w:noWrap/>
            <w:hideMark/>
          </w:tcPr>
          <w:p w14:paraId="1A8E89A3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27.500</w:t>
            </w:r>
          </w:p>
        </w:tc>
        <w:tc>
          <w:tcPr>
            <w:tcW w:w="0" w:type="auto"/>
            <w:hideMark/>
          </w:tcPr>
          <w:p w14:paraId="694304B5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35.400</w:t>
            </w:r>
          </w:p>
        </w:tc>
        <w:tc>
          <w:tcPr>
            <w:tcW w:w="0" w:type="auto"/>
            <w:hideMark/>
          </w:tcPr>
          <w:p w14:paraId="4B18936E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 </w:t>
            </w:r>
          </w:p>
        </w:tc>
        <w:tc>
          <w:tcPr>
            <w:tcW w:w="0" w:type="auto"/>
            <w:hideMark/>
          </w:tcPr>
          <w:p w14:paraId="08DCD096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 </w:t>
            </w:r>
          </w:p>
        </w:tc>
        <w:tc>
          <w:tcPr>
            <w:tcW w:w="0" w:type="auto"/>
            <w:hideMark/>
          </w:tcPr>
          <w:p w14:paraId="1A3AB401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 </w:t>
            </w:r>
          </w:p>
        </w:tc>
        <w:tc>
          <w:tcPr>
            <w:tcW w:w="0" w:type="auto"/>
            <w:hideMark/>
          </w:tcPr>
          <w:p w14:paraId="591855F7" w14:textId="77777777" w:rsidR="00F41686" w:rsidRPr="002C7FD2" w:rsidRDefault="00F41686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0" w:type="auto"/>
            <w:shd w:val="clear" w:color="auto" w:fill="BFBFBF" w:themeFill="background1" w:themeFillShade="BF"/>
          </w:tcPr>
          <w:p w14:paraId="4DAD950C" w14:textId="5EA5B798" w:rsidR="00F41686" w:rsidRPr="00B47ACA" w:rsidRDefault="002B6145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21.000</w:t>
            </w:r>
          </w:p>
        </w:tc>
      </w:tr>
      <w:tr w:rsidR="00F41686" w:rsidRPr="00B47ACA" w14:paraId="16A05FBE" w14:textId="173BDE94" w:rsidTr="00F41686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3A7F067A" w14:textId="77777777" w:rsidR="00F41686" w:rsidRPr="002C7FD2" w:rsidRDefault="00F41686" w:rsidP="00F41686">
            <w:r w:rsidRPr="002C7FD2">
              <w:t>Optag, erhvervslicens</w:t>
            </w:r>
          </w:p>
        </w:tc>
        <w:tc>
          <w:tcPr>
            <w:tcW w:w="0" w:type="auto"/>
            <w:noWrap/>
          </w:tcPr>
          <w:p w14:paraId="36284A17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25.353</w:t>
            </w:r>
          </w:p>
        </w:tc>
        <w:tc>
          <w:tcPr>
            <w:tcW w:w="0" w:type="auto"/>
          </w:tcPr>
          <w:p w14:paraId="42AF310B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33.894</w:t>
            </w:r>
          </w:p>
        </w:tc>
        <w:tc>
          <w:tcPr>
            <w:tcW w:w="0" w:type="auto"/>
          </w:tcPr>
          <w:p w14:paraId="55F940EC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31.351</w:t>
            </w:r>
          </w:p>
        </w:tc>
        <w:tc>
          <w:tcPr>
            <w:tcW w:w="0" w:type="auto"/>
          </w:tcPr>
          <w:p w14:paraId="563C73FA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21.881</w:t>
            </w:r>
          </w:p>
        </w:tc>
        <w:tc>
          <w:tcPr>
            <w:tcW w:w="0" w:type="auto"/>
          </w:tcPr>
          <w:p w14:paraId="683A1A48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18.935</w:t>
            </w:r>
          </w:p>
        </w:tc>
        <w:tc>
          <w:tcPr>
            <w:tcW w:w="0" w:type="auto"/>
          </w:tcPr>
          <w:p w14:paraId="180F1B8B" w14:textId="22F88FE8" w:rsidR="00F41686" w:rsidRPr="002C7FD2" w:rsidRDefault="00716429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17.534</w:t>
            </w:r>
          </w:p>
        </w:tc>
        <w:tc>
          <w:tcPr>
            <w:tcW w:w="0" w:type="auto"/>
            <w:shd w:val="clear" w:color="auto" w:fill="FFFFFF" w:themeFill="background1"/>
          </w:tcPr>
          <w:p w14:paraId="6ED698D9" w14:textId="13687FA9" w:rsidR="00F41686" w:rsidRPr="003562BA" w:rsidRDefault="003562BA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3562BA">
              <w:t>11.907</w:t>
            </w:r>
            <w:r w:rsidR="00E72019" w:rsidRPr="003562BA">
              <w:rPr>
                <w:vertAlign w:val="superscript"/>
              </w:rPr>
              <w:t>3</w:t>
            </w:r>
          </w:p>
        </w:tc>
      </w:tr>
      <w:tr w:rsidR="00F41686" w:rsidRPr="00B47ACA" w14:paraId="784F551B" w14:textId="1602B6F0" w:rsidTr="00F4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noWrap/>
          </w:tcPr>
          <w:p w14:paraId="2185B100" w14:textId="77777777" w:rsidR="00F41686" w:rsidRPr="002C7FD2" w:rsidRDefault="00F41686" w:rsidP="00F41686">
            <w:r w:rsidRPr="002C7FD2">
              <w:t>Optag, fritidslicens</w:t>
            </w:r>
          </w:p>
        </w:tc>
        <w:tc>
          <w:tcPr>
            <w:tcW w:w="0" w:type="auto"/>
            <w:noWrap/>
          </w:tcPr>
          <w:p w14:paraId="20E41096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bCs/>
              </w:rPr>
            </w:pPr>
            <w:r w:rsidRPr="002C7FD2">
              <w:rPr>
                <w:b/>
                <w:bCs/>
              </w:rPr>
              <w:t>-</w:t>
            </w:r>
          </w:p>
        </w:tc>
        <w:tc>
          <w:tcPr>
            <w:tcW w:w="0" w:type="auto"/>
          </w:tcPr>
          <w:p w14:paraId="685D1E2F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776</w:t>
            </w:r>
          </w:p>
        </w:tc>
        <w:tc>
          <w:tcPr>
            <w:tcW w:w="0" w:type="auto"/>
          </w:tcPr>
          <w:p w14:paraId="575BED28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620</w:t>
            </w:r>
          </w:p>
        </w:tc>
        <w:tc>
          <w:tcPr>
            <w:tcW w:w="0" w:type="auto"/>
          </w:tcPr>
          <w:p w14:paraId="7CA5E993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1.121</w:t>
            </w:r>
          </w:p>
        </w:tc>
        <w:tc>
          <w:tcPr>
            <w:tcW w:w="0" w:type="auto"/>
          </w:tcPr>
          <w:p w14:paraId="03FEA8A3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1.410</w:t>
            </w:r>
          </w:p>
        </w:tc>
        <w:tc>
          <w:tcPr>
            <w:tcW w:w="0" w:type="auto"/>
          </w:tcPr>
          <w:p w14:paraId="5B982EFC" w14:textId="19929C1F" w:rsidR="00F41686" w:rsidRPr="002C7FD2" w:rsidRDefault="00716429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783</w:t>
            </w:r>
          </w:p>
        </w:tc>
        <w:tc>
          <w:tcPr>
            <w:tcW w:w="0" w:type="auto"/>
            <w:shd w:val="clear" w:color="auto" w:fill="BFBFBF" w:themeFill="background1" w:themeFillShade="BF"/>
          </w:tcPr>
          <w:p w14:paraId="0130CF56" w14:textId="7ADDECFD" w:rsidR="00F41686" w:rsidRPr="00E72019" w:rsidRDefault="003562BA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vertAlign w:val="superscript"/>
              </w:rPr>
            </w:pPr>
            <w:r>
              <w:t>526</w:t>
            </w:r>
            <w:r w:rsidR="00E72019" w:rsidRPr="00E72019">
              <w:rPr>
                <w:vertAlign w:val="superscript"/>
              </w:rPr>
              <w:t>3</w:t>
            </w:r>
          </w:p>
        </w:tc>
      </w:tr>
      <w:tr w:rsidR="00F41686" w:rsidRPr="00B47ACA" w14:paraId="2C222331" w14:textId="28986C9F" w:rsidTr="00F41686">
        <w:trPr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hideMark/>
          </w:tcPr>
          <w:p w14:paraId="1680EBAA" w14:textId="77777777" w:rsidR="00F41686" w:rsidRPr="002C7FD2" w:rsidRDefault="00F41686" w:rsidP="00F41686">
            <w:pPr>
              <w:rPr>
                <w:b w:val="0"/>
                <w:bCs w:val="0"/>
              </w:rPr>
            </w:pPr>
            <w:r w:rsidRPr="002C7FD2">
              <w:t>Kvoteoptag i alt</w:t>
            </w:r>
          </w:p>
        </w:tc>
        <w:tc>
          <w:tcPr>
            <w:tcW w:w="0" w:type="auto"/>
            <w:noWrap/>
            <w:hideMark/>
          </w:tcPr>
          <w:p w14:paraId="6ADDA02A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 xml:space="preserve">    25.353 </w:t>
            </w:r>
          </w:p>
        </w:tc>
        <w:tc>
          <w:tcPr>
            <w:tcW w:w="0" w:type="auto"/>
            <w:noWrap/>
            <w:hideMark/>
          </w:tcPr>
          <w:p w14:paraId="53564911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 xml:space="preserve">           34.670 </w:t>
            </w:r>
          </w:p>
        </w:tc>
        <w:tc>
          <w:tcPr>
            <w:tcW w:w="0" w:type="auto"/>
            <w:noWrap/>
            <w:hideMark/>
          </w:tcPr>
          <w:p w14:paraId="303DFAE7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31.971</w:t>
            </w:r>
          </w:p>
        </w:tc>
        <w:tc>
          <w:tcPr>
            <w:tcW w:w="0" w:type="auto"/>
            <w:noWrap/>
            <w:hideMark/>
          </w:tcPr>
          <w:p w14:paraId="54CF2EB5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23.002</w:t>
            </w:r>
          </w:p>
        </w:tc>
        <w:tc>
          <w:tcPr>
            <w:tcW w:w="0" w:type="auto"/>
            <w:hideMark/>
          </w:tcPr>
          <w:p w14:paraId="2B3FB7D6" w14:textId="77777777" w:rsidR="00F41686" w:rsidRPr="002C7FD2" w:rsidRDefault="00F41686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2C7FD2">
              <w:t>20.345</w:t>
            </w:r>
          </w:p>
        </w:tc>
        <w:tc>
          <w:tcPr>
            <w:tcW w:w="0" w:type="auto"/>
            <w:hideMark/>
          </w:tcPr>
          <w:p w14:paraId="467C5DAA" w14:textId="625DC4D8" w:rsidR="00F41686" w:rsidRPr="002C7FD2" w:rsidRDefault="00716429" w:rsidP="00F41686">
            <w:pPr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18.317</w:t>
            </w:r>
          </w:p>
        </w:tc>
        <w:tc>
          <w:tcPr>
            <w:tcW w:w="0" w:type="auto"/>
          </w:tcPr>
          <w:p w14:paraId="7A8BE46D" w14:textId="6BA211E6" w:rsidR="00F41686" w:rsidRPr="007D04F8" w:rsidRDefault="003562BA" w:rsidP="00F41686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vertAlign w:val="superscript"/>
              </w:rPr>
            </w:pPr>
            <w:r>
              <w:t>12.433</w:t>
            </w:r>
            <w:r w:rsidR="007D04F8" w:rsidRPr="007D04F8">
              <w:rPr>
                <w:vertAlign w:val="superscript"/>
              </w:rPr>
              <w:t>3</w:t>
            </w:r>
          </w:p>
        </w:tc>
      </w:tr>
      <w:tr w:rsidR="00F41686" w:rsidRPr="00B47ACA" w14:paraId="4FC2B6BA" w14:textId="6C111E68" w:rsidTr="00F416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</w:tcPr>
          <w:p w14:paraId="34ACDFE0" w14:textId="77777777" w:rsidR="00F41686" w:rsidRPr="002C7FD2" w:rsidRDefault="00F41686" w:rsidP="00F41686">
            <w:pPr>
              <w:rPr>
                <w:vertAlign w:val="superscript"/>
              </w:rPr>
            </w:pPr>
            <w:r w:rsidRPr="002C7FD2">
              <w:t>Udnyttelse</w:t>
            </w:r>
            <w:r w:rsidRPr="002C7FD2">
              <w:rPr>
                <w:vertAlign w:val="superscript"/>
              </w:rPr>
              <w:t>4</w:t>
            </w:r>
            <w:r w:rsidRPr="002C7FD2">
              <w:t xml:space="preserve"> (%)</w:t>
            </w:r>
          </w:p>
        </w:tc>
        <w:tc>
          <w:tcPr>
            <w:tcW w:w="0" w:type="auto"/>
            <w:noWrap/>
          </w:tcPr>
          <w:p w14:paraId="67155C61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92</w:t>
            </w:r>
          </w:p>
        </w:tc>
        <w:tc>
          <w:tcPr>
            <w:tcW w:w="0" w:type="auto"/>
            <w:noWrap/>
          </w:tcPr>
          <w:p w14:paraId="3985E46F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98</w:t>
            </w:r>
          </w:p>
        </w:tc>
        <w:tc>
          <w:tcPr>
            <w:tcW w:w="0" w:type="auto"/>
            <w:noWrap/>
          </w:tcPr>
          <w:p w14:paraId="60993F14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88</w:t>
            </w:r>
          </w:p>
        </w:tc>
        <w:tc>
          <w:tcPr>
            <w:tcW w:w="0" w:type="auto"/>
            <w:noWrap/>
          </w:tcPr>
          <w:p w14:paraId="7215CA6A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63</w:t>
            </w:r>
          </w:p>
        </w:tc>
        <w:tc>
          <w:tcPr>
            <w:tcW w:w="0" w:type="auto"/>
          </w:tcPr>
          <w:p w14:paraId="490330C7" w14:textId="77777777" w:rsidR="00F41686" w:rsidRPr="002C7FD2" w:rsidRDefault="00F41686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2C7FD2">
              <w:t>68</w:t>
            </w:r>
          </w:p>
        </w:tc>
        <w:tc>
          <w:tcPr>
            <w:tcW w:w="0" w:type="auto"/>
          </w:tcPr>
          <w:p w14:paraId="1A732E44" w14:textId="569BF708" w:rsidR="00F41686" w:rsidRPr="002C7FD2" w:rsidRDefault="00716429" w:rsidP="00F41686">
            <w:pPr>
              <w:jc w:val="righ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61</w:t>
            </w:r>
          </w:p>
        </w:tc>
        <w:tc>
          <w:tcPr>
            <w:tcW w:w="0" w:type="auto"/>
            <w:shd w:val="clear" w:color="auto" w:fill="A6A6A6" w:themeFill="background1" w:themeFillShade="A6"/>
          </w:tcPr>
          <w:p w14:paraId="67C85D7C" w14:textId="3496FE7A" w:rsidR="00F41686" w:rsidRPr="00B47ACA" w:rsidRDefault="003562BA" w:rsidP="00F41686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59</w:t>
            </w:r>
          </w:p>
        </w:tc>
      </w:tr>
    </w:tbl>
    <w:p w14:paraId="4D10E7D0" w14:textId="77777777" w:rsidR="00D91802" w:rsidRPr="00D91802" w:rsidRDefault="00D91802" w:rsidP="00D918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D918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a-DK"/>
        </w:rPr>
        <w:t>1</w:t>
      </w:r>
      <w:r w:rsidRPr="00D91802">
        <w:rPr>
          <w:rFonts w:ascii="Times New Roman" w:eastAsia="Times New Roman" w:hAnsi="Times New Roman" w:cs="Times New Roman"/>
          <w:sz w:val="20"/>
          <w:szCs w:val="20"/>
          <w:lang w:eastAsia="da-DK"/>
        </w:rPr>
        <w:t>Heraf 1.000 t til fritidsfiskere</w:t>
      </w:r>
    </w:p>
    <w:p w14:paraId="1C99E610" w14:textId="77777777" w:rsidR="00D91802" w:rsidRPr="00D91802" w:rsidRDefault="00D91802" w:rsidP="00D918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D918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a-DK"/>
        </w:rPr>
        <w:t>2</w:t>
      </w:r>
      <w:r w:rsidRPr="00D91802">
        <w:rPr>
          <w:rFonts w:ascii="Times New Roman" w:eastAsia="Times New Roman" w:hAnsi="Times New Roman" w:cs="Times New Roman"/>
          <w:sz w:val="20"/>
          <w:szCs w:val="20"/>
          <w:lang w:eastAsia="da-DK"/>
        </w:rPr>
        <w:t>Heraf 1.500 t til fritidsfiskere</w:t>
      </w:r>
    </w:p>
    <w:p w14:paraId="571BC2F0" w14:textId="799023A2" w:rsidR="00D91802" w:rsidRPr="00D91802" w:rsidRDefault="00D91802" w:rsidP="00D91802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3562BA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a-DK"/>
        </w:rPr>
        <w:t>3</w:t>
      </w:r>
      <w:r w:rsidR="003562BA" w:rsidRPr="003562BA">
        <w:rPr>
          <w:rFonts w:ascii="Times New Roman" w:eastAsia="Times New Roman" w:hAnsi="Times New Roman" w:cs="Times New Roman"/>
          <w:sz w:val="20"/>
          <w:szCs w:val="20"/>
          <w:lang w:eastAsia="da-DK"/>
        </w:rPr>
        <w:t>Pr. 26</w:t>
      </w:r>
      <w:r w:rsidR="00E72019" w:rsidRPr="003562BA">
        <w:rPr>
          <w:rFonts w:ascii="Times New Roman" w:eastAsia="Times New Roman" w:hAnsi="Times New Roman" w:cs="Times New Roman"/>
          <w:sz w:val="20"/>
          <w:szCs w:val="20"/>
          <w:lang w:eastAsia="da-DK"/>
        </w:rPr>
        <w:t>/10 2021</w:t>
      </w:r>
    </w:p>
    <w:p w14:paraId="095AB673" w14:textId="7515419E" w:rsidR="002B6145" w:rsidRDefault="00D91802" w:rsidP="002B6145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  <w:r w:rsidRPr="00D91802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da-DK"/>
        </w:rPr>
        <w:t>4</w:t>
      </w:r>
      <w:r w:rsidRPr="00D91802">
        <w:rPr>
          <w:rFonts w:ascii="Times New Roman" w:eastAsia="Times New Roman" w:hAnsi="Times New Roman" w:cs="Times New Roman"/>
          <w:sz w:val="20"/>
          <w:szCs w:val="20"/>
          <w:lang w:eastAsia="da-DK"/>
        </w:rPr>
        <w:t>Udnyttelsen er et udtryk for det procentvise samlede optag af TAC i et givent år</w:t>
      </w:r>
    </w:p>
    <w:p w14:paraId="4B8340DC" w14:textId="1FA46CD9" w:rsidR="002B6145" w:rsidRDefault="002B6145" w:rsidP="002B6145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da-DK"/>
        </w:rPr>
      </w:pPr>
    </w:p>
    <w:p w14:paraId="01F08685" w14:textId="40A1D305" w:rsidR="002B6145" w:rsidRDefault="002B6145" w:rsidP="002B6145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da-DK"/>
        </w:rPr>
      </w:pPr>
      <w:r w:rsidRPr="002B6145">
        <w:rPr>
          <w:rFonts w:ascii="Times New Roman" w:eastAsia="Times New Roman" w:hAnsi="Times New Roman" w:cs="Times New Roman"/>
          <w:lang w:eastAsia="da-DK"/>
        </w:rPr>
        <w:t>Det foreslås at kvoten fastholdes på 21.000 tons i 2022, hvoraf 1.000 tons kan fiskes af fritidsfiskere og indhandles.</w:t>
      </w:r>
      <w:r>
        <w:rPr>
          <w:rFonts w:ascii="Times New Roman" w:eastAsia="Times New Roman" w:hAnsi="Times New Roman" w:cs="Times New Roman"/>
          <w:lang w:eastAsia="da-DK"/>
        </w:rPr>
        <w:t xml:space="preserve"> Fritidsfiskerne skal have særlig licens hertil.</w:t>
      </w:r>
    </w:p>
    <w:p w14:paraId="1B293D96" w14:textId="77777777" w:rsidR="002B6145" w:rsidRPr="002B6145" w:rsidRDefault="002B6145" w:rsidP="002B6145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spacing w:after="0" w:line="240" w:lineRule="auto"/>
        <w:jc w:val="both"/>
        <w:rPr>
          <w:rFonts w:ascii="Times New Roman" w:eastAsia="Times New Roman" w:hAnsi="Times New Roman" w:cs="Times New Roman"/>
          <w:lang w:eastAsia="da-DK"/>
        </w:rPr>
      </w:pPr>
    </w:p>
    <w:p w14:paraId="7111DC6A" w14:textId="4E513C0F" w:rsidR="009C5A10" w:rsidRPr="009C5A10" w:rsidRDefault="009C5A10" w:rsidP="009C5A10">
      <w:pPr>
        <w:spacing w:line="240" w:lineRule="auto"/>
        <w:ind w:right="-1532"/>
        <w:jc w:val="both"/>
        <w:rPr>
          <w:rFonts w:ascii="Times New Roman" w:hAnsi="Times New Roman" w:cs="Times New Roman"/>
          <w:b/>
        </w:rPr>
      </w:pPr>
      <w:r w:rsidRPr="009C5A10">
        <w:rPr>
          <w:rFonts w:ascii="Times New Roman" w:hAnsi="Times New Roman" w:cs="Times New Roman"/>
          <w:b/>
        </w:rPr>
        <w:t>Tabel 2: Kvoteforslag for kystnær torsk i 2022 (tons)</w:t>
      </w:r>
    </w:p>
    <w:tbl>
      <w:tblPr>
        <w:tblStyle w:val="Tabel-Gitter1"/>
        <w:tblpPr w:leftFromText="141" w:rightFromText="141" w:vertAnchor="text" w:horzAnchor="margin" w:tblpY="17"/>
        <w:tblW w:w="9854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161"/>
        <w:gridCol w:w="1571"/>
      </w:tblGrid>
      <w:tr w:rsidR="009C5A10" w:rsidRPr="00084791" w14:paraId="72B46947" w14:textId="77777777" w:rsidTr="00BE5E87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14AB5C21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CFA2A92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14:paraId="743FC893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4DFEAFAE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EA67EDA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145D4677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96511D4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FBFBF"/>
          </w:tcPr>
          <w:p w14:paraId="1569E09D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9DA9E69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 2020</w:t>
            </w:r>
          </w:p>
          <w:p w14:paraId="72FBDE89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4395170B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9A1E2C7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Kvotetræk 2020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FBFBF"/>
          </w:tcPr>
          <w:p w14:paraId="6285C7B4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14B354F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7D48E745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0DD3E85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9C5A10" w:rsidRPr="00084791" w14:paraId="70CB0B78" w14:textId="77777777" w:rsidTr="00BE5E87">
        <w:trPr>
          <w:trHeight w:val="333"/>
        </w:trPr>
        <w:tc>
          <w:tcPr>
            <w:tcW w:w="1938" w:type="dxa"/>
            <w:shd w:val="clear" w:color="auto" w:fill="D9D9D9"/>
          </w:tcPr>
          <w:p w14:paraId="0E37B777" w14:textId="77777777" w:rsidR="009C5A10" w:rsidRPr="00084791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Torsk</w:t>
            </w:r>
          </w:p>
        </w:tc>
        <w:tc>
          <w:tcPr>
            <w:tcW w:w="1382" w:type="dxa"/>
            <w:shd w:val="clear" w:color="auto" w:fill="D9D9D9"/>
          </w:tcPr>
          <w:p w14:paraId="0A860EA6" w14:textId="77777777" w:rsidR="009C5A10" w:rsidRPr="00084791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D9D9D9"/>
          </w:tcPr>
          <w:p w14:paraId="53ECB58B" w14:textId="77777777" w:rsidR="009C5A10" w:rsidRPr="00084791" w:rsidRDefault="009C5A10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D9D9D9"/>
          </w:tcPr>
          <w:p w14:paraId="3AFD7B06" w14:textId="77777777" w:rsidR="009C5A10" w:rsidRPr="00084791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</w:tcPr>
          <w:p w14:paraId="296573BE" w14:textId="77777777" w:rsidR="009C5A10" w:rsidRPr="00084791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D9D9D9"/>
          </w:tcPr>
          <w:p w14:paraId="3415FC57" w14:textId="77777777" w:rsidR="009C5A10" w:rsidRPr="00084791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D9D9D9"/>
          </w:tcPr>
          <w:p w14:paraId="4A7E77E9" w14:textId="77777777" w:rsidR="009C5A10" w:rsidRPr="00084791" w:rsidRDefault="009C5A10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9C5A10" w:rsidRPr="00084791" w14:paraId="2B9B315F" w14:textId="77777777" w:rsidTr="00BE5E87">
        <w:trPr>
          <w:trHeight w:val="721"/>
        </w:trPr>
        <w:tc>
          <w:tcPr>
            <w:tcW w:w="1938" w:type="dxa"/>
          </w:tcPr>
          <w:p w14:paraId="3883F507" w14:textId="4C1628DF" w:rsidR="009C5A10" w:rsidRPr="00084791" w:rsidRDefault="009C5A10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lastRenderedPageBreak/>
              <w:t>Kystnært, Vestgrønland</w:t>
            </w:r>
          </w:p>
        </w:tc>
        <w:tc>
          <w:tcPr>
            <w:tcW w:w="1382" w:type="dxa"/>
          </w:tcPr>
          <w:p w14:paraId="395BDFE4" w14:textId="521EA6FD" w:rsidR="009C5A10" w:rsidRPr="00084791" w:rsidRDefault="002B614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5.283</w:t>
            </w:r>
            <w:r w:rsidRPr="002B614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382" w:type="dxa"/>
          </w:tcPr>
          <w:p w14:paraId="14A8F935" w14:textId="37680E22" w:rsidR="009C5A10" w:rsidRPr="00084791" w:rsidRDefault="002B614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4.780</w:t>
            </w:r>
            <w:r w:rsidRPr="002B6145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190" w:type="dxa"/>
          </w:tcPr>
          <w:p w14:paraId="316D35C1" w14:textId="27C2CE4A" w:rsidR="009C5A10" w:rsidRPr="00084791" w:rsidRDefault="00CA0D64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30.000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230" w:type="dxa"/>
          </w:tcPr>
          <w:p w14:paraId="45B3FC3D" w14:textId="47F59CCE" w:rsidR="009C5A10" w:rsidRPr="00084791" w:rsidRDefault="00CA0D64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18.317</w:t>
            </w:r>
          </w:p>
        </w:tc>
        <w:tc>
          <w:tcPr>
            <w:tcW w:w="1161" w:type="dxa"/>
          </w:tcPr>
          <w:p w14:paraId="24E082CF" w14:textId="4666D032" w:rsidR="009C5A10" w:rsidRPr="00084791" w:rsidRDefault="002B614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21.000</w:t>
            </w:r>
            <w:r w:rsidR="00CA0D6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71" w:type="dxa"/>
          </w:tcPr>
          <w:p w14:paraId="54070016" w14:textId="3EEE6BD6" w:rsidR="009C5A10" w:rsidRPr="00084791" w:rsidRDefault="002B614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21</w:t>
            </w:r>
            <w:r w:rsidR="009C5A10">
              <w:rPr>
                <w:rFonts w:ascii="Times New Roman" w:eastAsia="Calibri" w:hAnsi="Times New Roman" w:cs="Times New Roman"/>
                <w:sz w:val="20"/>
                <w:szCs w:val="20"/>
              </w:rPr>
              <w:t>.000</w:t>
            </w:r>
            <w:r w:rsidR="00CA0D64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</w:tr>
    </w:tbl>
    <w:p w14:paraId="1F9FFA9D" w14:textId="1906EA61" w:rsidR="004E4FE2" w:rsidRPr="009466F4" w:rsidRDefault="002B6145" w:rsidP="004E4FE2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1 </w:t>
      </w:r>
      <w:r w:rsidR="004E4FE2" w:rsidRPr="009466F4">
        <w:rPr>
          <w:rFonts w:ascii="Times New Roman" w:hAnsi="Times New Roman" w:cs="Times New Roman"/>
          <w:sz w:val="18"/>
          <w:szCs w:val="18"/>
        </w:rPr>
        <w:t xml:space="preserve">GN vurderer, at et fiskeri </w:t>
      </w:r>
      <w:r w:rsidR="004E4FE2" w:rsidRPr="00DA3AE5">
        <w:rPr>
          <w:rFonts w:ascii="Times New Roman" w:hAnsi="Times New Roman" w:cs="Times New Roman"/>
          <w:sz w:val="18"/>
          <w:szCs w:val="18"/>
        </w:rPr>
        <w:t xml:space="preserve">på </w:t>
      </w:r>
      <w:r w:rsidR="00DA3AE5" w:rsidRPr="00DA3AE5">
        <w:rPr>
          <w:rFonts w:ascii="Times New Roman" w:hAnsi="Times New Roman" w:cs="Times New Roman"/>
          <w:sz w:val="18"/>
          <w:szCs w:val="18"/>
        </w:rPr>
        <w:t>10.566</w:t>
      </w:r>
      <w:r w:rsidR="004E4FE2" w:rsidRPr="00DA3AE5">
        <w:rPr>
          <w:rFonts w:ascii="Times New Roman" w:hAnsi="Times New Roman" w:cs="Times New Roman"/>
          <w:sz w:val="18"/>
          <w:szCs w:val="18"/>
        </w:rPr>
        <w:t xml:space="preserve"> tons</w:t>
      </w:r>
      <w:r w:rsidR="004E4FE2" w:rsidRPr="009466F4">
        <w:rPr>
          <w:rFonts w:ascii="Times New Roman" w:hAnsi="Times New Roman" w:cs="Times New Roman"/>
          <w:sz w:val="18"/>
          <w:szCs w:val="18"/>
        </w:rPr>
        <w:t xml:space="preserve"> i det kystnære område svarer til et fiskeri på den kystnære bestand på 5.283 tons</w:t>
      </w:r>
    </w:p>
    <w:p w14:paraId="7BE936BF" w14:textId="50A69822" w:rsidR="004E4FE2" w:rsidRPr="009466F4" w:rsidRDefault="002B6145" w:rsidP="004E4FE2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2 </w:t>
      </w:r>
      <w:r w:rsidR="004E4FE2" w:rsidRPr="009466F4">
        <w:rPr>
          <w:rFonts w:ascii="Times New Roman" w:hAnsi="Times New Roman" w:cs="Times New Roman"/>
          <w:sz w:val="18"/>
          <w:szCs w:val="18"/>
        </w:rPr>
        <w:t>GN vurderer, at et fiskeri på 9.560 tons i det kystnære område svarer til et fiskeri på den kystnære bestand på 4.780 tons.</w:t>
      </w:r>
    </w:p>
    <w:p w14:paraId="1D79EBA9" w14:textId="4170E27F" w:rsidR="009C5A10" w:rsidRDefault="002B6145" w:rsidP="002B6145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 w:rsidRPr="002B6145">
        <w:rPr>
          <w:rFonts w:ascii="Times New Roman" w:hAnsi="Times New Roman" w:cs="Times New Roman"/>
          <w:sz w:val="18"/>
          <w:szCs w:val="18"/>
        </w:rPr>
        <w:t>3 Hera</w:t>
      </w:r>
      <w:r w:rsidR="00CA0D64">
        <w:rPr>
          <w:rFonts w:ascii="Times New Roman" w:hAnsi="Times New Roman" w:cs="Times New Roman"/>
          <w:sz w:val="18"/>
          <w:szCs w:val="18"/>
        </w:rPr>
        <w:t>f 1.5</w:t>
      </w:r>
      <w:r w:rsidRPr="002B6145">
        <w:rPr>
          <w:rFonts w:ascii="Times New Roman" w:hAnsi="Times New Roman" w:cs="Times New Roman"/>
          <w:sz w:val="18"/>
          <w:szCs w:val="18"/>
        </w:rPr>
        <w:t>00 tons til fritidsfiskere</w:t>
      </w:r>
    </w:p>
    <w:p w14:paraId="22ADF768" w14:textId="00CD2AF2" w:rsidR="00CA0D64" w:rsidRDefault="00CA0D64" w:rsidP="002B6145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 xml:space="preserve">4 </w:t>
      </w:r>
      <w:r w:rsidRPr="002B6145">
        <w:rPr>
          <w:rFonts w:ascii="Times New Roman" w:hAnsi="Times New Roman" w:cs="Times New Roman"/>
          <w:sz w:val="18"/>
          <w:szCs w:val="18"/>
        </w:rPr>
        <w:t>Hera</w:t>
      </w:r>
      <w:r>
        <w:rPr>
          <w:rFonts w:ascii="Times New Roman" w:hAnsi="Times New Roman" w:cs="Times New Roman"/>
          <w:sz w:val="18"/>
          <w:szCs w:val="18"/>
        </w:rPr>
        <w:t>f 1.0</w:t>
      </w:r>
      <w:r w:rsidRPr="002B6145">
        <w:rPr>
          <w:rFonts w:ascii="Times New Roman" w:hAnsi="Times New Roman" w:cs="Times New Roman"/>
          <w:sz w:val="18"/>
          <w:szCs w:val="18"/>
        </w:rPr>
        <w:t>00 tons til fritidsfiskere</w:t>
      </w:r>
    </w:p>
    <w:p w14:paraId="622A8C48" w14:textId="77777777" w:rsidR="002B6145" w:rsidRPr="00501BF3" w:rsidRDefault="002B6145" w:rsidP="00501BF3">
      <w:pPr>
        <w:keepNext/>
        <w:keepLines/>
        <w:pBdr>
          <w:bottom w:val="single" w:sz="4" w:space="1" w:color="auto"/>
        </w:pBdr>
        <w:spacing w:after="240"/>
        <w:ind w:right="-1532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</w:p>
    <w:p w14:paraId="7964D761" w14:textId="770B5EFB" w:rsidR="00DA5878" w:rsidRPr="00CE7F19" w:rsidRDefault="00223225" w:rsidP="00501BF3">
      <w:pPr>
        <w:keepNext/>
        <w:keepLines/>
        <w:pBdr>
          <w:bottom w:val="single" w:sz="4" w:space="1" w:color="auto"/>
        </w:pBdr>
        <w:spacing w:after="240"/>
        <w:ind w:right="-1532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 w:rsidRPr="00223225">
        <w:rPr>
          <w:rFonts w:ascii="Times New Roman" w:eastAsiaTheme="majorEastAsia" w:hAnsi="Times New Roman" w:cs="Times New Roman"/>
          <w:b/>
          <w:bCs/>
        </w:rPr>
        <w:t>Hellefisk</w:t>
      </w:r>
      <w:r>
        <w:rPr>
          <w:rFonts w:ascii="Times New Roman" w:eastAsiaTheme="majorEastAsia" w:hAnsi="Times New Roman" w:cs="Times New Roman"/>
          <w:b/>
          <w:bCs/>
        </w:rPr>
        <w:t xml:space="preserve"> NAFO 1B – 1F</w:t>
      </w:r>
      <w:r w:rsidR="00501BF3">
        <w:rPr>
          <w:rFonts w:ascii="Times New Roman" w:eastAsiaTheme="majorEastAsia" w:hAnsi="Times New Roman" w:cs="Times New Roman"/>
          <w:b/>
          <w:bCs/>
        </w:rPr>
        <w:t xml:space="preserve"> (område 46)</w:t>
      </w:r>
    </w:p>
    <w:p w14:paraId="4E9F2B31" w14:textId="5BAA49C1" w:rsidR="00DA5878" w:rsidRDefault="00CE7F19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videnskabelige rådgivning for hellefisk i forvaltningsområderne 1B (Sisimiut), 1C (Maniitsoq), 1D (Nuuk), 1E (Paamiut) og 1F (Qaqortoq) er 2 årig og gælder for 2021 – 2022. Data viser, at der ikke er betydende ændringer og rådgivningen er således uændret. </w:t>
      </w:r>
      <w:r w:rsidR="002037A6">
        <w:rPr>
          <w:rFonts w:ascii="Times New Roman" w:hAnsi="Times New Roman" w:cs="Times New Roman"/>
          <w:sz w:val="24"/>
          <w:szCs w:val="24"/>
        </w:rPr>
        <w:t>Der foreligger ingen rådgivning for Qaanaaq.</w:t>
      </w:r>
      <w:r w:rsidR="001251A4">
        <w:rPr>
          <w:rFonts w:ascii="Times New Roman" w:hAnsi="Times New Roman" w:cs="Times New Roman"/>
          <w:sz w:val="24"/>
          <w:szCs w:val="24"/>
        </w:rPr>
        <w:t xml:space="preserve"> På denne baggrund og for at sikre MSC på den udenskærs hellefiskebestand tages kvoten til Qaanaaq fra den havgående kvote for hellefisk.</w:t>
      </w:r>
    </w:p>
    <w:p w14:paraId="25A475DF" w14:textId="06472FBD" w:rsidR="00CE7F19" w:rsidRDefault="00CE7F19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</w:p>
    <w:p w14:paraId="73FF196F" w14:textId="43C6E146" w:rsidR="00CE7F19" w:rsidRDefault="00CE7F19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Der blev for første gang afgivet rådgivning for separate områder syd for forvaltningsområde 47 (</w:t>
      </w:r>
      <w:proofErr w:type="spellStart"/>
      <w:r>
        <w:rPr>
          <w:rFonts w:ascii="Times New Roman" w:hAnsi="Times New Roman" w:cs="Times New Roman"/>
          <w:sz w:val="24"/>
          <w:szCs w:val="24"/>
        </w:rPr>
        <w:t>Diskobugten</w:t>
      </w:r>
      <w:proofErr w:type="spellEnd"/>
      <w:r>
        <w:rPr>
          <w:rFonts w:ascii="Times New Roman" w:hAnsi="Times New Roman" w:cs="Times New Roman"/>
          <w:sz w:val="24"/>
          <w:szCs w:val="24"/>
        </w:rPr>
        <w:t>, Uummannaq og Upernavik) for 2021. Den nye bekendtgørelse for hellefisk fastsatte på baggrund af rådgivningen nye forvaltningsområder</w:t>
      </w:r>
      <w:r w:rsidR="007F1EF6">
        <w:rPr>
          <w:rFonts w:ascii="Times New Roman" w:hAnsi="Times New Roman" w:cs="Times New Roman"/>
          <w:sz w:val="24"/>
          <w:szCs w:val="24"/>
        </w:rPr>
        <w:t xml:space="preserve"> herfor samt for Qaanaaq</w:t>
      </w:r>
      <w:r>
        <w:rPr>
          <w:rFonts w:ascii="Times New Roman" w:hAnsi="Times New Roman" w:cs="Times New Roman"/>
          <w:sz w:val="24"/>
          <w:szCs w:val="24"/>
        </w:rPr>
        <w:t xml:space="preserve">. Tidligere var fiskeriet i disse områder </w:t>
      </w:r>
      <w:proofErr w:type="spellStart"/>
      <w:r>
        <w:rPr>
          <w:rFonts w:ascii="Times New Roman" w:hAnsi="Times New Roman" w:cs="Times New Roman"/>
          <w:sz w:val="24"/>
          <w:szCs w:val="24"/>
        </w:rPr>
        <w:t>ukvoteret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8E6856C" w14:textId="20104BC3" w:rsidR="00CE7F19" w:rsidRDefault="00CE7F19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</w:p>
    <w:p w14:paraId="13E2CB84" w14:textId="77777777" w:rsidR="00CE7F19" w:rsidRPr="009C5A10" w:rsidRDefault="00DA5878" w:rsidP="00CE7F19">
      <w:pPr>
        <w:ind w:right="-1532"/>
        <w:jc w:val="both"/>
        <w:rPr>
          <w:rFonts w:ascii="Times New Roman" w:hAnsi="Times New Roman" w:cs="Times New Roman"/>
        </w:rPr>
      </w:pPr>
      <w:r w:rsidRPr="00FD7F87">
        <w:rPr>
          <w:rFonts w:ascii="Times New Roman" w:hAnsi="Times New Roman" w:cs="Times New Roman"/>
          <w:sz w:val="24"/>
          <w:szCs w:val="24"/>
        </w:rPr>
        <w:t xml:space="preserve">Rådgivningen anbefaler, </w:t>
      </w:r>
      <w:r w:rsidRPr="00764F4D">
        <w:rPr>
          <w:rFonts w:ascii="Times New Roman" w:hAnsi="Times New Roman" w:cs="Times New Roman"/>
          <w:sz w:val="24"/>
          <w:szCs w:val="24"/>
        </w:rPr>
        <w:t xml:space="preserve">at fangsterne på sigt gradvist </w:t>
      </w:r>
      <w:r w:rsidR="00CE7F19">
        <w:rPr>
          <w:rFonts w:ascii="Times New Roman" w:hAnsi="Times New Roman" w:cs="Times New Roman"/>
          <w:sz w:val="24"/>
          <w:szCs w:val="24"/>
        </w:rPr>
        <w:t xml:space="preserve">tilpasses til rådgivningen for de respektive forvaltningsområder. </w:t>
      </w:r>
      <w:r w:rsidR="00CE7F19" w:rsidRPr="009C5A10">
        <w:rPr>
          <w:rFonts w:ascii="Times New Roman" w:hAnsi="Times New Roman" w:cs="Times New Roman"/>
        </w:rPr>
        <w:t>Derfor foreslås at fastholde den gradvise tilpasning til den videnskabelige rådgivning som blev besluttet i 2021, med henblik på at sikre det kystnære fiskeri langsigtet.</w:t>
      </w:r>
    </w:p>
    <w:p w14:paraId="423143FE" w14:textId="22885DCE" w:rsidR="00DA5878" w:rsidRDefault="00CE7F19" w:rsidP="00E7646A">
      <w:pPr>
        <w:spacing w:after="0"/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E7F19">
        <w:rPr>
          <w:rFonts w:ascii="Times New Roman" w:hAnsi="Times New Roman" w:cs="Times New Roman"/>
          <w:b/>
          <w:sz w:val="24"/>
          <w:szCs w:val="24"/>
        </w:rPr>
        <w:t>Tabel 3: Kvoteforslag for kystnært hellefisk NAFO 1B – 1F</w:t>
      </w:r>
      <w:r w:rsidR="00566FD6">
        <w:rPr>
          <w:rFonts w:ascii="Times New Roman" w:hAnsi="Times New Roman" w:cs="Times New Roman"/>
          <w:b/>
          <w:sz w:val="24"/>
          <w:szCs w:val="24"/>
        </w:rPr>
        <w:t xml:space="preserve"> i 2022</w:t>
      </w:r>
      <w:r w:rsidRPr="00CE7F19">
        <w:rPr>
          <w:rFonts w:ascii="Times New Roman" w:hAnsi="Times New Roman" w:cs="Times New Roman"/>
          <w:b/>
          <w:sz w:val="24"/>
          <w:szCs w:val="24"/>
        </w:rPr>
        <w:t xml:space="preserve"> (tons)</w:t>
      </w:r>
    </w:p>
    <w:tbl>
      <w:tblPr>
        <w:tblStyle w:val="Tabel-Gitter1"/>
        <w:tblpPr w:leftFromText="141" w:rightFromText="141" w:vertAnchor="text" w:horzAnchor="margin" w:tblpY="17"/>
        <w:tblW w:w="8664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230"/>
        <w:gridCol w:w="1161"/>
        <w:gridCol w:w="1571"/>
      </w:tblGrid>
      <w:tr w:rsidR="007F1EF6" w:rsidRPr="00084791" w14:paraId="0EF1A97E" w14:textId="77777777" w:rsidTr="007F1EF6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07BE147B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2246689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14:paraId="697E63EB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30CC1985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0FBD36B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77EA6A03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6F1F37E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3EED4751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FD5C100" w14:textId="4D81BD5E" w:rsidR="007F1EF6" w:rsidRPr="00084791" w:rsidRDefault="006E700F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Kvotetræk 2021</w:t>
            </w:r>
            <w:r w:rsidRPr="006E700F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FBFBF"/>
          </w:tcPr>
          <w:p w14:paraId="3659E262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4EAB16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32062A88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19A7E72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7F1EF6" w:rsidRPr="00084791" w14:paraId="369CB7A9" w14:textId="77777777" w:rsidTr="007F1EF6">
        <w:trPr>
          <w:trHeight w:val="333"/>
        </w:trPr>
        <w:tc>
          <w:tcPr>
            <w:tcW w:w="1938" w:type="dxa"/>
            <w:shd w:val="clear" w:color="auto" w:fill="D9D9D9"/>
          </w:tcPr>
          <w:p w14:paraId="68000496" w14:textId="7E0FDCF3" w:rsidR="007F1EF6" w:rsidRPr="00084791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Hellefisk</w:t>
            </w:r>
          </w:p>
        </w:tc>
        <w:tc>
          <w:tcPr>
            <w:tcW w:w="1382" w:type="dxa"/>
            <w:shd w:val="clear" w:color="auto" w:fill="D9D9D9"/>
          </w:tcPr>
          <w:p w14:paraId="63BCE913" w14:textId="77777777" w:rsidR="007F1EF6" w:rsidRPr="00084791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D9D9D9"/>
          </w:tcPr>
          <w:p w14:paraId="61465E09" w14:textId="77777777" w:rsidR="007F1EF6" w:rsidRPr="00084791" w:rsidRDefault="007F1EF6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</w:tcPr>
          <w:p w14:paraId="00B375E0" w14:textId="77777777" w:rsidR="007F1EF6" w:rsidRPr="00084791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D9D9D9"/>
          </w:tcPr>
          <w:p w14:paraId="7FBDB357" w14:textId="77777777" w:rsidR="007F1EF6" w:rsidRPr="00084791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D9D9D9"/>
          </w:tcPr>
          <w:p w14:paraId="2B960DD0" w14:textId="77777777" w:rsidR="007F1EF6" w:rsidRPr="00084791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F1EF6" w:rsidRPr="00084791" w14:paraId="24B7F19A" w14:textId="77777777" w:rsidTr="007F1EF6">
        <w:trPr>
          <w:trHeight w:val="721"/>
        </w:trPr>
        <w:tc>
          <w:tcPr>
            <w:tcW w:w="1938" w:type="dxa"/>
          </w:tcPr>
          <w:p w14:paraId="353E92BB" w14:textId="0C3F9589" w:rsidR="007F1EF6" w:rsidRPr="00084791" w:rsidRDefault="007F1EF6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1B + 1C (Sisimiut + Maniitsoq)</w:t>
            </w:r>
          </w:p>
        </w:tc>
        <w:tc>
          <w:tcPr>
            <w:tcW w:w="1382" w:type="dxa"/>
          </w:tcPr>
          <w:p w14:paraId="3C8FDC96" w14:textId="6DBD1BC2" w:rsidR="007F1EF6" w:rsidRPr="00084791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382" w:type="dxa"/>
          </w:tcPr>
          <w:p w14:paraId="760E395C" w14:textId="3D4F5DBA" w:rsidR="007F1EF6" w:rsidRPr="00084791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30" w:type="dxa"/>
          </w:tcPr>
          <w:p w14:paraId="255A58DB" w14:textId="3E8C5396" w:rsidR="007F1EF6" w:rsidRPr="00084791" w:rsidRDefault="003562BA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204</w:t>
            </w:r>
          </w:p>
        </w:tc>
        <w:tc>
          <w:tcPr>
            <w:tcW w:w="1161" w:type="dxa"/>
          </w:tcPr>
          <w:p w14:paraId="160FA247" w14:textId="1B1EB766" w:rsidR="007F1EF6" w:rsidRPr="00084791" w:rsidRDefault="007F1EF6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223</w:t>
            </w:r>
          </w:p>
        </w:tc>
        <w:tc>
          <w:tcPr>
            <w:tcW w:w="1571" w:type="dxa"/>
          </w:tcPr>
          <w:p w14:paraId="70D133AA" w14:textId="640475EF" w:rsidR="007F1EF6" w:rsidRPr="00084791" w:rsidRDefault="006019D2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</w:tr>
      <w:tr w:rsidR="007F1EF6" w:rsidRPr="00084791" w14:paraId="2EA63D01" w14:textId="77777777" w:rsidTr="007F1EF6">
        <w:trPr>
          <w:trHeight w:val="721"/>
        </w:trPr>
        <w:tc>
          <w:tcPr>
            <w:tcW w:w="1938" w:type="dxa"/>
          </w:tcPr>
          <w:p w14:paraId="2EBE5BD0" w14:textId="62C06A89" w:rsidR="007F1EF6" w:rsidRDefault="007F1EF6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1D (Nuuk)</w:t>
            </w:r>
          </w:p>
        </w:tc>
        <w:tc>
          <w:tcPr>
            <w:tcW w:w="1382" w:type="dxa"/>
          </w:tcPr>
          <w:p w14:paraId="57D4F89A" w14:textId="51B1AB20" w:rsidR="007F1EF6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647</w:t>
            </w:r>
          </w:p>
        </w:tc>
        <w:tc>
          <w:tcPr>
            <w:tcW w:w="1382" w:type="dxa"/>
          </w:tcPr>
          <w:p w14:paraId="20521512" w14:textId="0B401CEF" w:rsidR="007F1EF6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398</w:t>
            </w:r>
          </w:p>
        </w:tc>
        <w:tc>
          <w:tcPr>
            <w:tcW w:w="1230" w:type="dxa"/>
          </w:tcPr>
          <w:p w14:paraId="6293DE62" w14:textId="3BC47967" w:rsidR="007F1EF6" w:rsidRPr="00084791" w:rsidRDefault="003562BA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786</w:t>
            </w:r>
          </w:p>
        </w:tc>
        <w:tc>
          <w:tcPr>
            <w:tcW w:w="1161" w:type="dxa"/>
          </w:tcPr>
          <w:p w14:paraId="5DC749E4" w14:textId="2CEBA6D7" w:rsidR="007F1EF6" w:rsidRPr="00084791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1.039</w:t>
            </w:r>
          </w:p>
        </w:tc>
        <w:tc>
          <w:tcPr>
            <w:tcW w:w="1571" w:type="dxa"/>
          </w:tcPr>
          <w:p w14:paraId="416A8612" w14:textId="766480F2" w:rsidR="007F1EF6" w:rsidRDefault="006019D2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859</w:t>
            </w:r>
          </w:p>
        </w:tc>
      </w:tr>
      <w:tr w:rsidR="007F1EF6" w:rsidRPr="00084791" w14:paraId="20435C6D" w14:textId="77777777" w:rsidTr="007F1EF6">
        <w:trPr>
          <w:trHeight w:val="721"/>
        </w:trPr>
        <w:tc>
          <w:tcPr>
            <w:tcW w:w="1938" w:type="dxa"/>
          </w:tcPr>
          <w:p w14:paraId="6AE21360" w14:textId="1A94D330" w:rsidR="007F1EF6" w:rsidRDefault="007F1EF6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1E + 1F (Paamiut + Qaqortoq)</w:t>
            </w:r>
          </w:p>
        </w:tc>
        <w:tc>
          <w:tcPr>
            <w:tcW w:w="1382" w:type="dxa"/>
          </w:tcPr>
          <w:p w14:paraId="7E0E3BFD" w14:textId="60B7539B" w:rsidR="007F1EF6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382" w:type="dxa"/>
          </w:tcPr>
          <w:p w14:paraId="03204B54" w14:textId="2D78AAE4" w:rsidR="007F1EF6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222</w:t>
            </w:r>
          </w:p>
        </w:tc>
        <w:tc>
          <w:tcPr>
            <w:tcW w:w="1230" w:type="dxa"/>
          </w:tcPr>
          <w:p w14:paraId="770EB1A2" w14:textId="0D38FBDD" w:rsidR="007F1EF6" w:rsidRPr="00084791" w:rsidRDefault="003562BA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518</w:t>
            </w:r>
          </w:p>
        </w:tc>
        <w:tc>
          <w:tcPr>
            <w:tcW w:w="1161" w:type="dxa"/>
          </w:tcPr>
          <w:p w14:paraId="09C17CBF" w14:textId="7036089D" w:rsidR="007F1EF6" w:rsidRPr="00084791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618</w:t>
            </w:r>
          </w:p>
        </w:tc>
        <w:tc>
          <w:tcPr>
            <w:tcW w:w="1571" w:type="dxa"/>
          </w:tcPr>
          <w:p w14:paraId="5EDB5B1D" w14:textId="2858A496" w:rsidR="007F1EF6" w:rsidRDefault="006019D2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519</w:t>
            </w:r>
          </w:p>
        </w:tc>
      </w:tr>
      <w:tr w:rsidR="007F1EF6" w:rsidRPr="00084791" w14:paraId="0C01120B" w14:textId="77777777" w:rsidTr="007F1EF6">
        <w:trPr>
          <w:trHeight w:val="721"/>
        </w:trPr>
        <w:tc>
          <w:tcPr>
            <w:tcW w:w="1938" w:type="dxa"/>
          </w:tcPr>
          <w:p w14:paraId="3927EFB8" w14:textId="1AEE790C" w:rsidR="007F1EF6" w:rsidRDefault="007F1EF6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Qaanaaq</w:t>
            </w:r>
          </w:p>
        </w:tc>
        <w:tc>
          <w:tcPr>
            <w:tcW w:w="1382" w:type="dxa"/>
          </w:tcPr>
          <w:p w14:paraId="4C243BB6" w14:textId="35D2066B" w:rsidR="007F1EF6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</w:t>
            </w:r>
          </w:p>
        </w:tc>
        <w:tc>
          <w:tcPr>
            <w:tcW w:w="1382" w:type="dxa"/>
          </w:tcPr>
          <w:p w14:paraId="2513951A" w14:textId="03F5E656" w:rsidR="007F1EF6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</w:t>
            </w:r>
          </w:p>
        </w:tc>
        <w:tc>
          <w:tcPr>
            <w:tcW w:w="1230" w:type="dxa"/>
          </w:tcPr>
          <w:p w14:paraId="27139746" w14:textId="15501998" w:rsidR="007F1EF6" w:rsidRPr="00084791" w:rsidRDefault="003562BA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181</w:t>
            </w:r>
          </w:p>
        </w:tc>
        <w:tc>
          <w:tcPr>
            <w:tcW w:w="1161" w:type="dxa"/>
          </w:tcPr>
          <w:p w14:paraId="359F1F17" w14:textId="3B341722" w:rsidR="007F1EF6" w:rsidRPr="00084791" w:rsidRDefault="007F1EF6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1571" w:type="dxa"/>
          </w:tcPr>
          <w:p w14:paraId="347873D9" w14:textId="7F2DE926" w:rsidR="007F1EF6" w:rsidRDefault="006019D2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252</w:t>
            </w:r>
          </w:p>
        </w:tc>
      </w:tr>
    </w:tbl>
    <w:p w14:paraId="22E38FAA" w14:textId="3074D542" w:rsidR="007F1EF6" w:rsidRPr="006E700F" w:rsidRDefault="006E700F" w:rsidP="00E7646A">
      <w:pPr>
        <w:spacing w:after="0"/>
        <w:ind w:right="-1532"/>
        <w:jc w:val="both"/>
        <w:rPr>
          <w:rFonts w:ascii="Times New Roman" w:hAnsi="Times New Roman" w:cs="Times New Roman"/>
          <w:sz w:val="20"/>
          <w:szCs w:val="20"/>
        </w:rPr>
      </w:pPr>
      <w:r w:rsidRPr="006E700F">
        <w:rPr>
          <w:rFonts w:ascii="Times New Roman" w:hAnsi="Times New Roman" w:cs="Times New Roman"/>
          <w:sz w:val="20"/>
          <w:szCs w:val="20"/>
        </w:rPr>
        <w:t>1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3562BA" w:rsidRPr="003562BA">
        <w:rPr>
          <w:rFonts w:ascii="Times New Roman" w:hAnsi="Times New Roman" w:cs="Times New Roman"/>
          <w:sz w:val="20"/>
          <w:szCs w:val="20"/>
        </w:rPr>
        <w:t>Per 26</w:t>
      </w:r>
      <w:r w:rsidRPr="003562BA">
        <w:rPr>
          <w:rFonts w:ascii="Times New Roman" w:hAnsi="Times New Roman" w:cs="Times New Roman"/>
          <w:sz w:val="20"/>
          <w:szCs w:val="20"/>
        </w:rPr>
        <w:t>/10-2021</w:t>
      </w:r>
    </w:p>
    <w:p w14:paraId="1B4272D5" w14:textId="70AE4494" w:rsidR="007F378E" w:rsidRDefault="007F378E" w:rsidP="00E7646A">
      <w:pPr>
        <w:tabs>
          <w:tab w:val="left" w:pos="-1134"/>
          <w:tab w:val="left" w:pos="-567"/>
          <w:tab w:val="left" w:pos="0"/>
          <w:tab w:val="left" w:pos="566"/>
          <w:tab w:val="left" w:pos="1134"/>
          <w:tab w:val="left" w:pos="1700"/>
          <w:tab w:val="left" w:pos="2266"/>
          <w:tab w:val="left" w:pos="2834"/>
          <w:tab w:val="left" w:pos="3400"/>
          <w:tab w:val="left" w:pos="3968"/>
          <w:tab w:val="left" w:pos="4534"/>
          <w:tab w:val="left" w:pos="5102"/>
          <w:tab w:val="left" w:pos="5668"/>
          <w:tab w:val="left" w:pos="6236"/>
          <w:tab w:val="left" w:pos="6802"/>
          <w:tab w:val="left" w:pos="7369"/>
          <w:tab w:val="left" w:pos="7936"/>
          <w:tab w:val="left" w:pos="8503"/>
          <w:tab w:val="left" w:pos="9070"/>
        </w:tabs>
        <w:ind w:right="-1532"/>
        <w:jc w:val="both"/>
      </w:pPr>
    </w:p>
    <w:p w14:paraId="24AE9E8F" w14:textId="30407E92" w:rsidR="00223225" w:rsidRPr="00223225" w:rsidRDefault="00223225" w:rsidP="00E7646A">
      <w:pPr>
        <w:keepNext/>
        <w:keepLines/>
        <w:pBdr>
          <w:bottom w:val="single" w:sz="4" w:space="1" w:color="auto"/>
        </w:pBdr>
        <w:spacing w:after="240"/>
        <w:ind w:right="-1532"/>
        <w:jc w:val="both"/>
        <w:outlineLvl w:val="1"/>
        <w:rPr>
          <w:rFonts w:ascii="Times New Roman" w:eastAsiaTheme="majorEastAsia" w:hAnsi="Times New Roman" w:cs="Times New Roman"/>
          <w:b/>
          <w:bCs/>
        </w:rPr>
      </w:pPr>
      <w:r w:rsidRPr="00223225">
        <w:rPr>
          <w:rFonts w:ascii="Times New Roman" w:eastAsiaTheme="majorEastAsia" w:hAnsi="Times New Roman" w:cs="Times New Roman"/>
          <w:b/>
          <w:bCs/>
        </w:rPr>
        <w:t>Hellefisk</w:t>
      </w:r>
      <w:r>
        <w:rPr>
          <w:rFonts w:ascii="Times New Roman" w:eastAsiaTheme="majorEastAsia" w:hAnsi="Times New Roman" w:cs="Times New Roman"/>
          <w:b/>
          <w:bCs/>
        </w:rPr>
        <w:t xml:space="preserve"> </w:t>
      </w:r>
      <w:proofErr w:type="spellStart"/>
      <w:r>
        <w:rPr>
          <w:rFonts w:ascii="Times New Roman" w:eastAsiaTheme="majorEastAsia" w:hAnsi="Times New Roman" w:cs="Times New Roman"/>
          <w:b/>
          <w:bCs/>
        </w:rPr>
        <w:t>Diskobugten</w:t>
      </w:r>
      <w:proofErr w:type="spellEnd"/>
      <w:r>
        <w:rPr>
          <w:rFonts w:ascii="Times New Roman" w:eastAsiaTheme="majorEastAsia" w:hAnsi="Times New Roman" w:cs="Times New Roman"/>
          <w:b/>
          <w:bCs/>
        </w:rPr>
        <w:t>, Uummannaq og Upernavik (Område 47)</w:t>
      </w:r>
      <w:r w:rsidR="00566FD6">
        <w:rPr>
          <w:rFonts w:ascii="Times New Roman" w:eastAsiaTheme="majorEastAsia" w:hAnsi="Times New Roman" w:cs="Times New Roman"/>
          <w:b/>
          <w:bCs/>
        </w:rPr>
        <w:t xml:space="preserve"> i 2022 (tons)</w:t>
      </w:r>
    </w:p>
    <w:p w14:paraId="37FF0A81" w14:textId="47D64B51" w:rsidR="00C33E94" w:rsidRDefault="00C33E94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Den videnskabelige rådgivning for hellefisk i forvaltningsområderne Upernavik, Uummannaq og </w:t>
      </w:r>
      <w:proofErr w:type="spellStart"/>
      <w:r>
        <w:rPr>
          <w:rFonts w:ascii="Times New Roman" w:hAnsi="Times New Roman" w:cs="Times New Roman"/>
          <w:sz w:val="24"/>
          <w:szCs w:val="24"/>
        </w:rPr>
        <w:t>Diskobugt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er 2 årig og gælder for 2021 – 2022. Data viser, at der ikke er betydende ændringer og rådgivningen er således uændret.</w:t>
      </w:r>
    </w:p>
    <w:p w14:paraId="03142D6F" w14:textId="44C3B49B" w:rsidR="00E2140F" w:rsidRDefault="00E2140F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</w:p>
    <w:p w14:paraId="6063E89E" w14:textId="77777777" w:rsidR="0060707D" w:rsidRDefault="00E2140F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 baggrund af den nedadgående rådgivningen blev det i 2021 besluttet at reducer</w:t>
      </w:r>
      <w:r w:rsidR="00A30006">
        <w:rPr>
          <w:rFonts w:ascii="Times New Roman" w:hAnsi="Times New Roman" w:cs="Times New Roman"/>
          <w:sz w:val="24"/>
          <w:szCs w:val="24"/>
        </w:rPr>
        <w:t>e</w:t>
      </w:r>
      <w:r>
        <w:rPr>
          <w:rFonts w:ascii="Times New Roman" w:hAnsi="Times New Roman" w:cs="Times New Roman"/>
          <w:sz w:val="24"/>
          <w:szCs w:val="24"/>
        </w:rPr>
        <w:t xml:space="preserve"> kvoten</w:t>
      </w:r>
      <w:r w:rsidR="0060707D">
        <w:rPr>
          <w:rFonts w:ascii="Times New Roman" w:hAnsi="Times New Roman" w:cs="Times New Roman"/>
          <w:sz w:val="24"/>
          <w:szCs w:val="24"/>
        </w:rPr>
        <w:t xml:space="preserve"> med samlet 1.000 tons.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0707D">
        <w:rPr>
          <w:rFonts w:ascii="Times New Roman" w:hAnsi="Times New Roman" w:cs="Times New Roman"/>
          <w:sz w:val="24"/>
          <w:szCs w:val="24"/>
        </w:rPr>
        <w:t xml:space="preserve">Dog, har der jf. §7, stk. 5 i Bekendtgørelsen for licens og kvoter været tilføjet 3.778 tons hellefisk, efter fartøjernes </w:t>
      </w:r>
      <w:proofErr w:type="spellStart"/>
      <w:r w:rsidR="0060707D">
        <w:rPr>
          <w:rFonts w:ascii="Times New Roman" w:hAnsi="Times New Roman" w:cs="Times New Roman"/>
          <w:sz w:val="24"/>
          <w:szCs w:val="24"/>
        </w:rPr>
        <w:t>uopfiskede</w:t>
      </w:r>
      <w:proofErr w:type="spellEnd"/>
      <w:r w:rsidR="0060707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60707D">
        <w:rPr>
          <w:rFonts w:ascii="Times New Roman" w:hAnsi="Times New Roman" w:cs="Times New Roman"/>
          <w:sz w:val="24"/>
          <w:szCs w:val="24"/>
        </w:rPr>
        <w:t>kvoteflex</w:t>
      </w:r>
      <w:proofErr w:type="spellEnd"/>
      <w:r w:rsidR="0060707D">
        <w:rPr>
          <w:rFonts w:ascii="Times New Roman" w:hAnsi="Times New Roman" w:cs="Times New Roman"/>
          <w:sz w:val="24"/>
          <w:szCs w:val="24"/>
        </w:rPr>
        <w:t xml:space="preserve"> for 2020 blev tilbageført efter d. 1. juli. </w:t>
      </w:r>
    </w:p>
    <w:p w14:paraId="030B0682" w14:textId="77777777" w:rsidR="0060707D" w:rsidRDefault="0060707D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</w:p>
    <w:p w14:paraId="22F482A4" w14:textId="15DF6F6B" w:rsidR="00E2140F" w:rsidRDefault="0060707D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På trods af denne tilførsel har det været nødvendigt at forhøje kvoten i Uper</w:t>
      </w:r>
      <w:r w:rsidR="009F49A1">
        <w:rPr>
          <w:rFonts w:ascii="Times New Roman" w:hAnsi="Times New Roman" w:cs="Times New Roman"/>
          <w:sz w:val="24"/>
          <w:szCs w:val="24"/>
        </w:rPr>
        <w:t>navik</w:t>
      </w:r>
      <w:r w:rsidR="009C2A62">
        <w:rPr>
          <w:rFonts w:ascii="Times New Roman" w:hAnsi="Times New Roman" w:cs="Times New Roman"/>
          <w:sz w:val="24"/>
          <w:szCs w:val="24"/>
        </w:rPr>
        <w:t xml:space="preserve"> for at fiskeriet kunne fortsætte uhindret resten af året</w:t>
      </w:r>
      <w:r w:rsidR="008855D8">
        <w:rPr>
          <w:rFonts w:ascii="Times New Roman" w:hAnsi="Times New Roman" w:cs="Times New Roman"/>
          <w:sz w:val="24"/>
          <w:szCs w:val="24"/>
        </w:rPr>
        <w:t>, hvilket har været et politisk ønske</w:t>
      </w:r>
      <w:r w:rsidR="009C2A62">
        <w:rPr>
          <w:rFonts w:ascii="Times New Roman" w:hAnsi="Times New Roman" w:cs="Times New Roman"/>
          <w:sz w:val="24"/>
          <w:szCs w:val="24"/>
        </w:rPr>
        <w:t>. På denne baggrund indstilles det at kvoten forhøjes i alle tre forvaltningsområder for at fiskeriet kan fortsætte uhindret og uden stop.</w:t>
      </w:r>
    </w:p>
    <w:p w14:paraId="5251BFEB" w14:textId="2A4E26FF" w:rsidR="00602EC4" w:rsidRDefault="00602EC4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</w:p>
    <w:p w14:paraId="133AD437" w14:textId="4508E457" w:rsidR="00602EC4" w:rsidRDefault="00602EC4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Det foreslås at kvote</w:t>
      </w:r>
      <w:r w:rsidR="008748C1">
        <w:rPr>
          <w:rFonts w:ascii="Times New Roman" w:hAnsi="Times New Roman" w:cs="Times New Roman"/>
          <w:sz w:val="24"/>
          <w:szCs w:val="24"/>
        </w:rPr>
        <w:t xml:space="preserve">n i </w:t>
      </w:r>
      <w:proofErr w:type="spellStart"/>
      <w:r w:rsidR="008748C1">
        <w:rPr>
          <w:rFonts w:ascii="Times New Roman" w:hAnsi="Times New Roman" w:cs="Times New Roman"/>
          <w:sz w:val="24"/>
          <w:szCs w:val="24"/>
        </w:rPr>
        <w:t>Diskobugten</w:t>
      </w:r>
      <w:proofErr w:type="spellEnd"/>
      <w:r w:rsidR="008748C1">
        <w:rPr>
          <w:rFonts w:ascii="Times New Roman" w:hAnsi="Times New Roman" w:cs="Times New Roman"/>
          <w:sz w:val="24"/>
          <w:szCs w:val="24"/>
        </w:rPr>
        <w:t xml:space="preserve"> </w:t>
      </w:r>
      <w:r w:rsidR="00BC13B3">
        <w:rPr>
          <w:rFonts w:ascii="Times New Roman" w:hAnsi="Times New Roman" w:cs="Times New Roman"/>
          <w:sz w:val="24"/>
          <w:szCs w:val="24"/>
        </w:rPr>
        <w:t>forhøjes med 1.6</w:t>
      </w:r>
      <w:r w:rsidR="00A83B55">
        <w:rPr>
          <w:rFonts w:ascii="Times New Roman" w:hAnsi="Times New Roman" w:cs="Times New Roman"/>
          <w:sz w:val="24"/>
          <w:szCs w:val="24"/>
        </w:rPr>
        <w:t>53</w:t>
      </w:r>
      <w:r w:rsidR="008748C1">
        <w:rPr>
          <w:rFonts w:ascii="Times New Roman" w:hAnsi="Times New Roman" w:cs="Times New Roman"/>
          <w:sz w:val="24"/>
          <w:szCs w:val="24"/>
        </w:rPr>
        <w:t xml:space="preserve"> tons, Uummannaq med 483 tons og Upernavik </w:t>
      </w:r>
      <w:r w:rsidR="008748C1" w:rsidRPr="001F5805">
        <w:rPr>
          <w:rFonts w:ascii="Times New Roman" w:hAnsi="Times New Roman" w:cs="Times New Roman"/>
          <w:sz w:val="24"/>
          <w:szCs w:val="24"/>
        </w:rPr>
        <w:t xml:space="preserve">med </w:t>
      </w:r>
      <w:r w:rsidR="001F5805">
        <w:rPr>
          <w:rFonts w:ascii="Times New Roman" w:hAnsi="Times New Roman" w:cs="Times New Roman"/>
          <w:sz w:val="24"/>
          <w:szCs w:val="24"/>
        </w:rPr>
        <w:t>1.17</w:t>
      </w:r>
      <w:r w:rsidR="008748C1" w:rsidRPr="001F5805">
        <w:rPr>
          <w:rFonts w:ascii="Times New Roman" w:hAnsi="Times New Roman" w:cs="Times New Roman"/>
          <w:sz w:val="24"/>
          <w:szCs w:val="24"/>
        </w:rPr>
        <w:t>6</w:t>
      </w:r>
      <w:r w:rsidRPr="001F5805">
        <w:rPr>
          <w:rFonts w:ascii="Times New Roman" w:hAnsi="Times New Roman" w:cs="Times New Roman"/>
          <w:sz w:val="24"/>
          <w:szCs w:val="24"/>
        </w:rPr>
        <w:t xml:space="preserve"> tons</w:t>
      </w:r>
      <w:r>
        <w:rPr>
          <w:rFonts w:ascii="Times New Roman" w:hAnsi="Times New Roman" w:cs="Times New Roman"/>
          <w:sz w:val="24"/>
          <w:szCs w:val="24"/>
        </w:rPr>
        <w:t xml:space="preserve"> ift. den oprindelige kvote for 2021.</w:t>
      </w:r>
    </w:p>
    <w:p w14:paraId="128CE11B" w14:textId="2689D66A" w:rsidR="002307AA" w:rsidRDefault="002307AA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</w:p>
    <w:p w14:paraId="10F35603" w14:textId="5F112BF8" w:rsidR="002307AA" w:rsidRDefault="002307AA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</w:rPr>
      </w:pPr>
      <w:r w:rsidRPr="009F49A1">
        <w:rPr>
          <w:rFonts w:ascii="Times New Roman" w:hAnsi="Times New Roman" w:cs="Times New Roman"/>
          <w:sz w:val="24"/>
          <w:szCs w:val="24"/>
        </w:rPr>
        <w:t xml:space="preserve">Den foreslåede kvote er estimeret på baggrund af kvoteoptaget </w:t>
      </w:r>
      <w:r w:rsidR="009F49A1" w:rsidRPr="009F49A1">
        <w:rPr>
          <w:rFonts w:ascii="Times New Roman" w:hAnsi="Times New Roman" w:cs="Times New Roman"/>
          <w:sz w:val="24"/>
          <w:szCs w:val="24"/>
        </w:rPr>
        <w:t>2017 – 2020</w:t>
      </w:r>
      <w:r w:rsidRPr="009F49A1">
        <w:rPr>
          <w:rFonts w:ascii="Times New Roman" w:hAnsi="Times New Roman" w:cs="Times New Roman"/>
          <w:sz w:val="24"/>
          <w:szCs w:val="24"/>
        </w:rPr>
        <w:t>.</w:t>
      </w:r>
    </w:p>
    <w:p w14:paraId="25397397" w14:textId="19DFC2FB" w:rsidR="00C33E94" w:rsidRDefault="00C33E94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sz w:val="24"/>
          <w:szCs w:val="24"/>
        </w:rPr>
      </w:pPr>
    </w:p>
    <w:p w14:paraId="32486EC4" w14:textId="200FB54A" w:rsidR="00566FD6" w:rsidRPr="00566FD6" w:rsidRDefault="00566FD6" w:rsidP="00E7646A">
      <w:pPr>
        <w:autoSpaceDE w:val="0"/>
        <w:autoSpaceDN w:val="0"/>
        <w:adjustRightInd w:val="0"/>
        <w:spacing w:after="0" w:line="240" w:lineRule="auto"/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66FD6">
        <w:rPr>
          <w:rFonts w:ascii="Times New Roman" w:hAnsi="Times New Roman" w:cs="Times New Roman"/>
          <w:b/>
          <w:sz w:val="24"/>
          <w:szCs w:val="24"/>
        </w:rPr>
        <w:t>Tabe</w:t>
      </w:r>
      <w:r>
        <w:rPr>
          <w:rFonts w:ascii="Times New Roman" w:hAnsi="Times New Roman" w:cs="Times New Roman"/>
          <w:b/>
          <w:sz w:val="24"/>
          <w:szCs w:val="24"/>
        </w:rPr>
        <w:t xml:space="preserve">l 4: Kvoteforslag for hellefisk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Diskobugten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 xml:space="preserve">, Uummannaq og Upernavik </w:t>
      </w:r>
      <w:r w:rsidR="00EA3E33">
        <w:rPr>
          <w:rFonts w:ascii="Times New Roman" w:hAnsi="Times New Roman" w:cs="Times New Roman"/>
          <w:b/>
          <w:sz w:val="24"/>
          <w:szCs w:val="24"/>
        </w:rPr>
        <w:t xml:space="preserve">i 2022 </w:t>
      </w:r>
      <w:r w:rsidRPr="00566FD6">
        <w:rPr>
          <w:rFonts w:ascii="Times New Roman" w:hAnsi="Times New Roman" w:cs="Times New Roman"/>
          <w:b/>
          <w:sz w:val="24"/>
          <w:szCs w:val="24"/>
        </w:rPr>
        <w:t>(tons)</w:t>
      </w:r>
    </w:p>
    <w:tbl>
      <w:tblPr>
        <w:tblStyle w:val="Tabel-Gitter1"/>
        <w:tblpPr w:leftFromText="141" w:rightFromText="141" w:vertAnchor="text" w:horzAnchor="margin" w:tblpY="17"/>
        <w:tblW w:w="8664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230"/>
        <w:gridCol w:w="1161"/>
        <w:gridCol w:w="1571"/>
      </w:tblGrid>
      <w:tr w:rsidR="007D04F8" w:rsidRPr="00084791" w14:paraId="1293A8EA" w14:textId="77777777" w:rsidTr="007D04F8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3EF14550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FCE654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14:paraId="291CFD4F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582E7C8A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6CA6DB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0549E88B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F6ACCD2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5D71F27C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7706073" w14:textId="3FCC7129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Kvotetræk 2021</w:t>
            </w:r>
            <w:r w:rsidRPr="007D04F8">
              <w:rPr>
                <w:rFonts w:ascii="Times New Roman" w:hAnsi="Times New Roman" w:cs="Times New Roman"/>
                <w:b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FBFBF"/>
          </w:tcPr>
          <w:p w14:paraId="2D312114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0CEB523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2507D463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86B972F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7D04F8" w:rsidRPr="00084791" w14:paraId="1DD652A8" w14:textId="77777777" w:rsidTr="007D04F8">
        <w:trPr>
          <w:trHeight w:val="333"/>
        </w:trPr>
        <w:tc>
          <w:tcPr>
            <w:tcW w:w="1938" w:type="dxa"/>
            <w:shd w:val="clear" w:color="auto" w:fill="D9D9D9"/>
          </w:tcPr>
          <w:p w14:paraId="45C3CD62" w14:textId="5A5C825E" w:rsidR="007D04F8" w:rsidRPr="00084791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Hellefisk</w:t>
            </w:r>
          </w:p>
        </w:tc>
        <w:tc>
          <w:tcPr>
            <w:tcW w:w="1382" w:type="dxa"/>
            <w:shd w:val="clear" w:color="auto" w:fill="D9D9D9"/>
          </w:tcPr>
          <w:p w14:paraId="03AB012C" w14:textId="77777777" w:rsidR="007D04F8" w:rsidRPr="00084791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D9D9D9"/>
          </w:tcPr>
          <w:p w14:paraId="52589CEC" w14:textId="77777777" w:rsidR="007D04F8" w:rsidRPr="00084791" w:rsidRDefault="007D04F8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</w:tcPr>
          <w:p w14:paraId="197E3C5D" w14:textId="77777777" w:rsidR="007D04F8" w:rsidRPr="00084791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D9D9D9"/>
          </w:tcPr>
          <w:p w14:paraId="1ADE76AE" w14:textId="77777777" w:rsidR="007D04F8" w:rsidRPr="00084791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D9D9D9"/>
          </w:tcPr>
          <w:p w14:paraId="637BC235" w14:textId="77777777" w:rsidR="007D04F8" w:rsidRPr="00084791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7D04F8" w:rsidRPr="00084791" w14:paraId="29BFC94C" w14:textId="77777777" w:rsidTr="007D04F8">
        <w:trPr>
          <w:trHeight w:val="721"/>
        </w:trPr>
        <w:tc>
          <w:tcPr>
            <w:tcW w:w="1938" w:type="dxa"/>
          </w:tcPr>
          <w:p w14:paraId="422DC3FC" w14:textId="46579EC2" w:rsidR="007D04F8" w:rsidRPr="00084791" w:rsidRDefault="007D04F8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Diskobugten</w:t>
            </w:r>
            <w:proofErr w:type="spellEnd"/>
          </w:p>
        </w:tc>
        <w:tc>
          <w:tcPr>
            <w:tcW w:w="1382" w:type="dxa"/>
          </w:tcPr>
          <w:p w14:paraId="70C462ED" w14:textId="7C68BD5C" w:rsidR="007D04F8" w:rsidRPr="00084791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4.346</w:t>
            </w:r>
          </w:p>
        </w:tc>
        <w:tc>
          <w:tcPr>
            <w:tcW w:w="1382" w:type="dxa"/>
          </w:tcPr>
          <w:p w14:paraId="391409C5" w14:textId="21DF5705" w:rsidR="007D04F8" w:rsidRPr="00084791" w:rsidRDefault="007D04F8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4.346</w:t>
            </w:r>
          </w:p>
        </w:tc>
        <w:tc>
          <w:tcPr>
            <w:tcW w:w="1230" w:type="dxa"/>
          </w:tcPr>
          <w:p w14:paraId="1617BA2A" w14:textId="63FF68AA" w:rsidR="007D04F8" w:rsidRPr="00084791" w:rsidRDefault="00954792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7.944</w:t>
            </w:r>
          </w:p>
        </w:tc>
        <w:tc>
          <w:tcPr>
            <w:tcW w:w="1161" w:type="dxa"/>
          </w:tcPr>
          <w:p w14:paraId="274D8D70" w14:textId="484DBA8D" w:rsidR="007D04F8" w:rsidRPr="00084791" w:rsidRDefault="00782DDE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10.540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2</w:t>
            </w:r>
          </w:p>
        </w:tc>
        <w:tc>
          <w:tcPr>
            <w:tcW w:w="1571" w:type="dxa"/>
          </w:tcPr>
          <w:p w14:paraId="6537D3A8" w14:textId="248EFEDF" w:rsidR="007D04F8" w:rsidRPr="00084791" w:rsidRDefault="00BC13B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9.5</w:t>
            </w:r>
            <w:r w:rsidR="00A83B55">
              <w:rPr>
                <w:rFonts w:ascii="Times New Roman" w:eastAsia="Calibri" w:hAnsi="Times New Roman" w:cs="Times New Roman"/>
                <w:sz w:val="20"/>
                <w:szCs w:val="20"/>
              </w:rPr>
              <w:t>00</w:t>
            </w:r>
          </w:p>
        </w:tc>
      </w:tr>
      <w:tr w:rsidR="007D04F8" w:rsidRPr="00084791" w14:paraId="627CF11E" w14:textId="77777777" w:rsidTr="007D04F8">
        <w:trPr>
          <w:trHeight w:val="721"/>
        </w:trPr>
        <w:tc>
          <w:tcPr>
            <w:tcW w:w="1938" w:type="dxa"/>
          </w:tcPr>
          <w:p w14:paraId="1B7BB70F" w14:textId="3A388810" w:rsidR="007D04F8" w:rsidRDefault="007D04F8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Uummannaq</w:t>
            </w:r>
          </w:p>
        </w:tc>
        <w:tc>
          <w:tcPr>
            <w:tcW w:w="1382" w:type="dxa"/>
          </w:tcPr>
          <w:p w14:paraId="742A7BDC" w14:textId="60AFB743" w:rsidR="007D04F8" w:rsidRDefault="007D04F8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5.153</w:t>
            </w:r>
          </w:p>
        </w:tc>
        <w:tc>
          <w:tcPr>
            <w:tcW w:w="1382" w:type="dxa"/>
          </w:tcPr>
          <w:p w14:paraId="1CDE96B8" w14:textId="626790A6" w:rsidR="007D04F8" w:rsidRDefault="007D04F8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5.153</w:t>
            </w:r>
          </w:p>
        </w:tc>
        <w:tc>
          <w:tcPr>
            <w:tcW w:w="1230" w:type="dxa"/>
          </w:tcPr>
          <w:p w14:paraId="5CABCEF1" w14:textId="188C1953" w:rsidR="007D04F8" w:rsidRPr="00084791" w:rsidRDefault="00954792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8.556</w:t>
            </w:r>
          </w:p>
        </w:tc>
        <w:tc>
          <w:tcPr>
            <w:tcW w:w="1161" w:type="dxa"/>
          </w:tcPr>
          <w:p w14:paraId="462EE2D2" w14:textId="0F42495F" w:rsidR="007D04F8" w:rsidRPr="00084791" w:rsidRDefault="00782DDE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9.764</w:t>
            </w:r>
            <w:r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3</w:t>
            </w:r>
          </w:p>
        </w:tc>
        <w:tc>
          <w:tcPr>
            <w:tcW w:w="1571" w:type="dxa"/>
          </w:tcPr>
          <w:p w14:paraId="0FC06204" w14:textId="59144D49" w:rsidR="007D04F8" w:rsidRDefault="008748C1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9.650</w:t>
            </w:r>
          </w:p>
        </w:tc>
      </w:tr>
      <w:tr w:rsidR="007D04F8" w:rsidRPr="00084791" w14:paraId="7A9D6CF5" w14:textId="77777777" w:rsidTr="007D04F8">
        <w:trPr>
          <w:trHeight w:val="721"/>
        </w:trPr>
        <w:tc>
          <w:tcPr>
            <w:tcW w:w="1938" w:type="dxa"/>
          </w:tcPr>
          <w:p w14:paraId="3C30879A" w14:textId="237D1760" w:rsidR="007D04F8" w:rsidRDefault="007D04F8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Upernavik</w:t>
            </w:r>
          </w:p>
        </w:tc>
        <w:tc>
          <w:tcPr>
            <w:tcW w:w="1382" w:type="dxa"/>
          </w:tcPr>
          <w:p w14:paraId="2CCEEDB2" w14:textId="12ECCC1F" w:rsidR="007D04F8" w:rsidRDefault="007D04F8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5.068</w:t>
            </w:r>
          </w:p>
        </w:tc>
        <w:tc>
          <w:tcPr>
            <w:tcW w:w="1382" w:type="dxa"/>
          </w:tcPr>
          <w:p w14:paraId="19819BD6" w14:textId="1411F713" w:rsidR="007D04F8" w:rsidRDefault="007D04F8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5.068</w:t>
            </w:r>
          </w:p>
        </w:tc>
        <w:tc>
          <w:tcPr>
            <w:tcW w:w="1230" w:type="dxa"/>
          </w:tcPr>
          <w:p w14:paraId="7A21C183" w14:textId="39F3B050" w:rsidR="007D04F8" w:rsidRPr="00084791" w:rsidRDefault="00954792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7.569</w:t>
            </w:r>
          </w:p>
        </w:tc>
        <w:tc>
          <w:tcPr>
            <w:tcW w:w="1161" w:type="dxa"/>
          </w:tcPr>
          <w:p w14:paraId="7C09C72E" w14:textId="634D3C52" w:rsidR="007D04F8" w:rsidRPr="00084791" w:rsidRDefault="00954792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9.498</w:t>
            </w:r>
            <w:r w:rsidR="00782DDE" w:rsidRPr="00782DDE">
              <w:rPr>
                <w:rFonts w:ascii="Times New Roman" w:eastAsia="Calibri" w:hAnsi="Times New Roman" w:cs="Times New Roman"/>
                <w:sz w:val="20"/>
                <w:szCs w:val="20"/>
                <w:vertAlign w:val="superscript"/>
              </w:rPr>
              <w:t>4</w:t>
            </w:r>
          </w:p>
        </w:tc>
        <w:tc>
          <w:tcPr>
            <w:tcW w:w="1571" w:type="dxa"/>
          </w:tcPr>
          <w:p w14:paraId="1E2B3503" w14:textId="2FA1A635" w:rsidR="007D04F8" w:rsidRDefault="008748C1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9.300</w:t>
            </w:r>
          </w:p>
        </w:tc>
      </w:tr>
    </w:tbl>
    <w:p w14:paraId="05B67733" w14:textId="0A823651" w:rsidR="00C33E94" w:rsidRPr="00782DDE" w:rsidRDefault="007D04F8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 w:rsidRPr="00782DDE">
        <w:rPr>
          <w:rFonts w:ascii="Times New Roman" w:hAnsi="Times New Roman" w:cs="Times New Roman"/>
          <w:sz w:val="18"/>
          <w:szCs w:val="18"/>
        </w:rPr>
        <w:t xml:space="preserve">1 </w:t>
      </w:r>
      <w:r w:rsidR="00954792" w:rsidRPr="002C65C8">
        <w:rPr>
          <w:rFonts w:ascii="Times New Roman" w:hAnsi="Times New Roman" w:cs="Times New Roman"/>
          <w:sz w:val="18"/>
          <w:szCs w:val="18"/>
        </w:rPr>
        <w:t>Per 26</w:t>
      </w:r>
      <w:r w:rsidRPr="002C65C8">
        <w:rPr>
          <w:rFonts w:ascii="Times New Roman" w:hAnsi="Times New Roman" w:cs="Times New Roman"/>
          <w:sz w:val="18"/>
          <w:szCs w:val="18"/>
        </w:rPr>
        <w:t>/10-2021</w:t>
      </w:r>
    </w:p>
    <w:p w14:paraId="2DCE138A" w14:textId="3B16FE59" w:rsidR="00782DDE" w:rsidRPr="00782DDE" w:rsidRDefault="00782DDE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 w:rsidRPr="00782DDE">
        <w:rPr>
          <w:rFonts w:ascii="Times New Roman" w:hAnsi="Times New Roman" w:cs="Times New Roman"/>
          <w:sz w:val="18"/>
          <w:szCs w:val="18"/>
        </w:rPr>
        <w:t>2 Kvoten blev efter overførsel af kvotefleks fra 2020 hævet fra 7.847 t, med 2.693 t, til 10.540 t.</w:t>
      </w:r>
    </w:p>
    <w:p w14:paraId="2ABD7758" w14:textId="77777777" w:rsidR="00782DDE" w:rsidRPr="00782DDE" w:rsidRDefault="00782DDE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 w:rsidRPr="00782DDE">
        <w:rPr>
          <w:rFonts w:ascii="Times New Roman" w:hAnsi="Times New Roman" w:cs="Times New Roman"/>
          <w:sz w:val="18"/>
          <w:szCs w:val="18"/>
        </w:rPr>
        <w:t>3 Kvoten blev efter overførsel af kvotefleks fra 2020 hævet fra 9.167 t, med 597 t, til 9.764 t.</w:t>
      </w:r>
    </w:p>
    <w:p w14:paraId="5FE739CF" w14:textId="0972A2C7" w:rsidR="00782DDE" w:rsidRDefault="00782DDE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  <w:r w:rsidRPr="00782DDE">
        <w:rPr>
          <w:rFonts w:ascii="Times New Roman" w:hAnsi="Times New Roman" w:cs="Times New Roman"/>
          <w:sz w:val="18"/>
          <w:szCs w:val="18"/>
        </w:rPr>
        <w:t xml:space="preserve">4 Kvoten blev efter overførsel af kvotefleks fra 2020 hævet fra </w:t>
      </w:r>
      <w:r w:rsidR="00890B8C">
        <w:rPr>
          <w:rFonts w:ascii="Times New Roman" w:hAnsi="Times New Roman" w:cs="Times New Roman"/>
          <w:sz w:val="18"/>
          <w:szCs w:val="18"/>
        </w:rPr>
        <w:t>8.124 t, med 474 t, til 8.598</w:t>
      </w:r>
      <w:r w:rsidR="0036445B">
        <w:rPr>
          <w:rFonts w:ascii="Times New Roman" w:hAnsi="Times New Roman" w:cs="Times New Roman"/>
          <w:sz w:val="18"/>
          <w:szCs w:val="18"/>
        </w:rPr>
        <w:t xml:space="preserve"> t. </w:t>
      </w:r>
      <w:r w:rsidR="0036445B" w:rsidRPr="00FF0C26">
        <w:rPr>
          <w:rFonts w:ascii="Times New Roman" w:hAnsi="Times New Roman" w:cs="Times New Roman"/>
          <w:sz w:val="18"/>
          <w:szCs w:val="18"/>
        </w:rPr>
        <w:t>Kvoten b</w:t>
      </w:r>
      <w:r w:rsidR="005034F9" w:rsidRPr="00FF0C26">
        <w:rPr>
          <w:rFonts w:ascii="Times New Roman" w:hAnsi="Times New Roman" w:cs="Times New Roman"/>
          <w:sz w:val="18"/>
          <w:szCs w:val="18"/>
        </w:rPr>
        <w:t>lev forhøjet med 900 t til 9.498</w:t>
      </w:r>
      <w:r w:rsidR="0036445B" w:rsidRPr="00FF0C26">
        <w:rPr>
          <w:rFonts w:ascii="Times New Roman" w:hAnsi="Times New Roman" w:cs="Times New Roman"/>
          <w:sz w:val="18"/>
          <w:szCs w:val="18"/>
        </w:rPr>
        <w:t xml:space="preserve"> t i oktober.</w:t>
      </w:r>
      <w:bookmarkStart w:id="0" w:name="_GoBack"/>
      <w:bookmarkEnd w:id="0"/>
    </w:p>
    <w:p w14:paraId="1279983C" w14:textId="77777777" w:rsidR="00E36A9D" w:rsidRPr="00782DDE" w:rsidRDefault="00E36A9D" w:rsidP="00782DDE">
      <w:pPr>
        <w:spacing w:after="0"/>
        <w:ind w:right="-1532"/>
        <w:jc w:val="both"/>
        <w:rPr>
          <w:rFonts w:ascii="Times New Roman" w:hAnsi="Times New Roman" w:cs="Times New Roman"/>
          <w:sz w:val="18"/>
          <w:szCs w:val="18"/>
        </w:rPr>
      </w:pPr>
    </w:p>
    <w:p w14:paraId="120E3124" w14:textId="509CCFDF" w:rsidR="00223225" w:rsidRPr="00C663A1" w:rsidRDefault="00223225" w:rsidP="00E7646A">
      <w:pPr>
        <w:pStyle w:val="Overskrift2"/>
        <w:pBdr>
          <w:bottom w:val="single" w:sz="4" w:space="1" w:color="auto"/>
        </w:pBdr>
        <w:spacing w:before="0" w:after="240"/>
        <w:ind w:right="-15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Stenbider</w:t>
      </w:r>
    </w:p>
    <w:p w14:paraId="13BEE701" w14:textId="299FB63F" w:rsidR="00E66BC1" w:rsidRDefault="001B271F" w:rsidP="002C0FD5">
      <w:pPr>
        <w:ind w:right="-1532"/>
        <w:jc w:val="both"/>
        <w:rPr>
          <w:rFonts w:ascii="Times New Roman" w:hAnsi="Times New Roman" w:cs="Times New Roman"/>
        </w:rPr>
      </w:pPr>
      <w:r w:rsidRPr="00E66BC1">
        <w:rPr>
          <w:rFonts w:ascii="Times New Roman" w:hAnsi="Times New Roman" w:cs="Times New Roman"/>
        </w:rPr>
        <w:t>Den videnskabelige rådgivning for stenbider for 2022</w:t>
      </w:r>
      <w:r w:rsidR="00E66BC1" w:rsidRPr="00E66BC1">
        <w:rPr>
          <w:rFonts w:ascii="Times New Roman" w:hAnsi="Times New Roman" w:cs="Times New Roman"/>
        </w:rPr>
        <w:t xml:space="preserve"> gives samlet for hele Vestgrønland for 1 år ad gangen. </w:t>
      </w:r>
      <w:proofErr w:type="spellStart"/>
      <w:r w:rsidR="00E66BC1">
        <w:rPr>
          <w:rFonts w:ascii="Times New Roman" w:hAnsi="Times New Roman" w:cs="Times New Roman"/>
        </w:rPr>
        <w:t>Fangstbareheden</w:t>
      </w:r>
      <w:proofErr w:type="spellEnd"/>
      <w:r w:rsidR="00E66BC1">
        <w:rPr>
          <w:rFonts w:ascii="Times New Roman" w:hAnsi="Times New Roman" w:cs="Times New Roman"/>
        </w:rPr>
        <w:t xml:space="preserve"> (LPUE) steg fra 2020 – 2021 med 11,6 %. LPUE har de seneste 2 år været de højeste i hele perioden 2010-2021 og gennemsnittet for de 2 år er 22,5 % højere end reference </w:t>
      </w:r>
      <w:proofErr w:type="spellStart"/>
      <w:r w:rsidR="00E66BC1">
        <w:rPr>
          <w:rFonts w:ascii="Times New Roman" w:hAnsi="Times New Roman" w:cs="Times New Roman"/>
        </w:rPr>
        <w:t>LPUE’en</w:t>
      </w:r>
      <w:proofErr w:type="spellEnd"/>
      <w:r w:rsidR="00E66BC1">
        <w:rPr>
          <w:rFonts w:ascii="Times New Roman" w:hAnsi="Times New Roman" w:cs="Times New Roman"/>
        </w:rPr>
        <w:t xml:space="preserve"> fra 2010 – 2013. Fiskeriet efter stenbider forvaltes i henhold til den af </w:t>
      </w:r>
      <w:proofErr w:type="spellStart"/>
      <w:r w:rsidR="00E66BC1">
        <w:rPr>
          <w:rFonts w:ascii="Times New Roman" w:hAnsi="Times New Roman" w:cs="Times New Roman"/>
        </w:rPr>
        <w:t>Naalakkersui</w:t>
      </w:r>
      <w:r w:rsidR="00566FD6">
        <w:rPr>
          <w:rFonts w:ascii="Times New Roman" w:hAnsi="Times New Roman" w:cs="Times New Roman"/>
        </w:rPr>
        <w:t>sut</w:t>
      </w:r>
      <w:proofErr w:type="spellEnd"/>
      <w:r w:rsidR="00566FD6">
        <w:rPr>
          <w:rFonts w:ascii="Times New Roman" w:hAnsi="Times New Roman" w:cs="Times New Roman"/>
        </w:rPr>
        <w:t xml:space="preserve"> godkendte forvaltningsplan. </w:t>
      </w:r>
      <w:r w:rsidR="00E66BC1">
        <w:rPr>
          <w:rFonts w:ascii="Times New Roman" w:hAnsi="Times New Roman" w:cs="Times New Roman"/>
        </w:rPr>
        <w:t xml:space="preserve">Forvaltningsplanen foreskriver at TAC for stenbider højest kan forøges med 20 % per år. </w:t>
      </w:r>
      <w:r w:rsidR="00566FD6" w:rsidRPr="0088340A">
        <w:rPr>
          <w:rFonts w:ascii="Times New Roman" w:hAnsi="Times New Roman" w:cs="Times New Roman"/>
          <w:b/>
        </w:rPr>
        <w:t>Rådgivningen for 2022 er</w:t>
      </w:r>
      <w:r w:rsidR="00566FD6">
        <w:rPr>
          <w:rFonts w:ascii="Times New Roman" w:hAnsi="Times New Roman" w:cs="Times New Roman"/>
        </w:rPr>
        <w:t xml:space="preserve"> </w:t>
      </w:r>
      <w:r w:rsidR="00566FD6" w:rsidRPr="0088340A">
        <w:rPr>
          <w:rFonts w:ascii="Times New Roman" w:hAnsi="Times New Roman" w:cs="Times New Roman"/>
          <w:b/>
        </w:rPr>
        <w:t>1.475,5 tons</w:t>
      </w:r>
      <w:r w:rsidR="00566FD6">
        <w:rPr>
          <w:rFonts w:ascii="Times New Roman" w:hAnsi="Times New Roman" w:cs="Times New Roman"/>
        </w:rPr>
        <w:t>, en stigning på 245,9 tons.</w:t>
      </w:r>
    </w:p>
    <w:p w14:paraId="6F1F5026" w14:textId="20B28F62" w:rsidR="00FD1301" w:rsidRDefault="00FD1301" w:rsidP="00E66BC1">
      <w:pPr>
        <w:ind w:right="-1532"/>
        <w:rPr>
          <w:rFonts w:ascii="Times New Roman" w:hAnsi="Times New Roman" w:cs="Times New Roman"/>
          <w:b/>
        </w:rPr>
      </w:pPr>
      <w:r w:rsidRPr="00FD1301">
        <w:rPr>
          <w:rFonts w:ascii="Times New Roman" w:hAnsi="Times New Roman" w:cs="Times New Roman"/>
          <w:b/>
        </w:rPr>
        <w:t>I henhold til forvaltningsplanen for fiskeri efter stenbider i Vestgrønland foreslå</w:t>
      </w:r>
      <w:r w:rsidR="00F03514">
        <w:rPr>
          <w:rFonts w:ascii="Times New Roman" w:hAnsi="Times New Roman" w:cs="Times New Roman"/>
          <w:b/>
        </w:rPr>
        <w:t>s</w:t>
      </w:r>
      <w:r w:rsidRPr="00FD1301">
        <w:rPr>
          <w:rFonts w:ascii="Times New Roman" w:hAnsi="Times New Roman" w:cs="Times New Roman"/>
          <w:b/>
        </w:rPr>
        <w:t xml:space="preserve"> det at TAC for 2022 fastsættes i henhold til rådgivningen til 1.475,5 tons.</w:t>
      </w:r>
    </w:p>
    <w:p w14:paraId="7D3370C0" w14:textId="64D2512B" w:rsidR="00F6229D" w:rsidRDefault="00F6229D" w:rsidP="00E66BC1">
      <w:pPr>
        <w:ind w:right="-1532"/>
        <w:rPr>
          <w:rFonts w:ascii="Times New Roman" w:hAnsi="Times New Roman" w:cs="Times New Roman"/>
          <w:b/>
        </w:rPr>
      </w:pPr>
    </w:p>
    <w:p w14:paraId="7380CDBD" w14:textId="271A7B9F" w:rsidR="00F6229D" w:rsidRDefault="00F6229D" w:rsidP="00E66BC1">
      <w:pPr>
        <w:ind w:right="-1532"/>
        <w:rPr>
          <w:rFonts w:ascii="Times New Roman" w:hAnsi="Times New Roman" w:cs="Times New Roman"/>
          <w:b/>
        </w:rPr>
      </w:pPr>
    </w:p>
    <w:p w14:paraId="3E054227" w14:textId="77777777" w:rsidR="00F6229D" w:rsidRDefault="00F6229D" w:rsidP="00E66BC1">
      <w:pPr>
        <w:ind w:right="-1532"/>
        <w:rPr>
          <w:rFonts w:ascii="Times New Roman" w:hAnsi="Times New Roman" w:cs="Times New Roman"/>
          <w:b/>
        </w:rPr>
      </w:pPr>
    </w:p>
    <w:p w14:paraId="4A17F800" w14:textId="676321A4" w:rsidR="001E67E7" w:rsidRPr="0099144F" w:rsidRDefault="001E67E7" w:rsidP="00E66BC1">
      <w:pPr>
        <w:ind w:right="-1532"/>
        <w:rPr>
          <w:rFonts w:ascii="Times New Roman" w:hAnsi="Times New Roman" w:cs="Times New Roman"/>
          <w:b/>
          <w:sz w:val="24"/>
          <w:szCs w:val="24"/>
        </w:rPr>
      </w:pPr>
      <w:r w:rsidRPr="0099144F">
        <w:rPr>
          <w:rFonts w:ascii="Times New Roman" w:hAnsi="Times New Roman" w:cs="Times New Roman"/>
          <w:b/>
          <w:sz w:val="24"/>
          <w:szCs w:val="24"/>
        </w:rPr>
        <w:t xml:space="preserve">Tabel 5: </w:t>
      </w:r>
      <w:r w:rsidR="00EA3E33" w:rsidRPr="0099144F">
        <w:rPr>
          <w:rFonts w:ascii="Times New Roman" w:hAnsi="Times New Roman" w:cs="Times New Roman"/>
          <w:b/>
          <w:sz w:val="24"/>
          <w:szCs w:val="24"/>
        </w:rPr>
        <w:t>Kvoteforslag for stenbider i Vestgrønland i 2022 (tons)</w:t>
      </w:r>
    </w:p>
    <w:tbl>
      <w:tblPr>
        <w:tblStyle w:val="Tabel-Gitter1"/>
        <w:tblpPr w:leftFromText="141" w:rightFromText="141" w:vertAnchor="text" w:horzAnchor="margin" w:tblpY="17"/>
        <w:tblW w:w="8693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571"/>
      </w:tblGrid>
      <w:tr w:rsidR="00EA3E33" w:rsidRPr="00084791" w14:paraId="315B1BF4" w14:textId="77777777" w:rsidTr="00EA3E33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55AE8806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23A527F2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14:paraId="11FA399F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47813FE9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47D9B7F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21C3266A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56A56ABA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FBFBF"/>
          </w:tcPr>
          <w:p w14:paraId="22FC4095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24653E5" w14:textId="5A271DB4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  <w:p w14:paraId="1F0D41C6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5AA10AA4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F221AE1" w14:textId="4105DF86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Kvotetræk 2021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4FB2EF95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E9E1367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EA3E33" w:rsidRPr="00084791" w14:paraId="5BECFC0D" w14:textId="77777777" w:rsidTr="00EA3E33">
        <w:trPr>
          <w:trHeight w:val="333"/>
        </w:trPr>
        <w:tc>
          <w:tcPr>
            <w:tcW w:w="1938" w:type="dxa"/>
            <w:shd w:val="clear" w:color="auto" w:fill="D9D9D9"/>
          </w:tcPr>
          <w:p w14:paraId="0F4C28B3" w14:textId="5CC628E8" w:rsidR="00EA3E33" w:rsidRPr="00084791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Stenbider</w:t>
            </w:r>
          </w:p>
        </w:tc>
        <w:tc>
          <w:tcPr>
            <w:tcW w:w="1382" w:type="dxa"/>
            <w:shd w:val="clear" w:color="auto" w:fill="D9D9D9"/>
          </w:tcPr>
          <w:p w14:paraId="77C21252" w14:textId="77777777" w:rsidR="00EA3E33" w:rsidRPr="00084791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D9D9D9"/>
          </w:tcPr>
          <w:p w14:paraId="6B45D5F0" w14:textId="77777777" w:rsidR="00EA3E33" w:rsidRPr="00084791" w:rsidRDefault="00EA3E33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D9D9D9"/>
          </w:tcPr>
          <w:p w14:paraId="712D45A8" w14:textId="77777777" w:rsidR="00EA3E33" w:rsidRPr="00084791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</w:tcPr>
          <w:p w14:paraId="70D62667" w14:textId="77777777" w:rsidR="00EA3E33" w:rsidRPr="00084791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D9D9D9"/>
          </w:tcPr>
          <w:p w14:paraId="394D0CB3" w14:textId="77777777" w:rsidR="00EA3E33" w:rsidRPr="00084791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EA3E33" w:rsidRPr="00084791" w14:paraId="5CFF9281" w14:textId="77777777" w:rsidTr="00EA3E33">
        <w:trPr>
          <w:trHeight w:val="721"/>
        </w:trPr>
        <w:tc>
          <w:tcPr>
            <w:tcW w:w="1938" w:type="dxa"/>
          </w:tcPr>
          <w:p w14:paraId="2D8E7470" w14:textId="511EAB5B" w:rsidR="00EA3E33" w:rsidRPr="00084791" w:rsidRDefault="00EA3E33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Vestgrønland</w:t>
            </w:r>
          </w:p>
        </w:tc>
        <w:tc>
          <w:tcPr>
            <w:tcW w:w="1382" w:type="dxa"/>
          </w:tcPr>
          <w:p w14:paraId="4D15ADE0" w14:textId="608F0345" w:rsidR="00EA3E33" w:rsidRPr="00084791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1.229,4</w:t>
            </w:r>
          </w:p>
        </w:tc>
        <w:tc>
          <w:tcPr>
            <w:tcW w:w="1382" w:type="dxa"/>
          </w:tcPr>
          <w:p w14:paraId="53BC4543" w14:textId="5F92F9EA" w:rsidR="00EA3E33" w:rsidRPr="00084791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1.475,5</w:t>
            </w:r>
          </w:p>
        </w:tc>
        <w:tc>
          <w:tcPr>
            <w:tcW w:w="1190" w:type="dxa"/>
          </w:tcPr>
          <w:p w14:paraId="78BA01D7" w14:textId="70F25345" w:rsidR="00EA3E33" w:rsidRPr="00084791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1.229,4</w:t>
            </w:r>
          </w:p>
        </w:tc>
        <w:tc>
          <w:tcPr>
            <w:tcW w:w="1230" w:type="dxa"/>
          </w:tcPr>
          <w:p w14:paraId="12E58188" w14:textId="448CC2D3" w:rsidR="00EA3E33" w:rsidRPr="00084791" w:rsidRDefault="000A7402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1.136</w:t>
            </w:r>
          </w:p>
        </w:tc>
        <w:tc>
          <w:tcPr>
            <w:tcW w:w="1571" w:type="dxa"/>
          </w:tcPr>
          <w:p w14:paraId="63A8C7A3" w14:textId="37D8D68B" w:rsidR="00EA3E33" w:rsidRPr="00084791" w:rsidRDefault="00EA3E33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1.475,5</w:t>
            </w:r>
          </w:p>
        </w:tc>
      </w:tr>
    </w:tbl>
    <w:p w14:paraId="1C01039E" w14:textId="77777777" w:rsidR="00EA3E33" w:rsidRDefault="00EA3E33" w:rsidP="00E66BC1">
      <w:pPr>
        <w:ind w:right="-1532"/>
        <w:jc w:val="both"/>
        <w:rPr>
          <w:rFonts w:ascii="Times New Roman" w:hAnsi="Times New Roman" w:cs="Times New Roman"/>
          <w:b/>
        </w:rPr>
      </w:pPr>
    </w:p>
    <w:p w14:paraId="3213D064" w14:textId="20041126" w:rsidR="00B41ADC" w:rsidRDefault="00E66BC1" w:rsidP="00E66BC1">
      <w:pPr>
        <w:ind w:right="-1532"/>
        <w:jc w:val="both"/>
        <w:rPr>
          <w:rFonts w:ascii="Times New Roman" w:hAnsi="Times New Roman" w:cs="Times New Roman"/>
        </w:rPr>
      </w:pPr>
      <w:r w:rsidRPr="00E66BC1">
        <w:rPr>
          <w:rFonts w:ascii="Times New Roman" w:hAnsi="Times New Roman" w:cs="Times New Roman"/>
        </w:rPr>
        <w:t xml:space="preserve">Forvaltningsplanen fastsætter en fordelingsnøgle for fordelingen af TAC på forvaltningsområderne i fiskeriet efter stenbider. Fordelingsnøglen er baseret på, at </w:t>
      </w:r>
      <w:proofErr w:type="spellStart"/>
      <w:r w:rsidRPr="00E66BC1">
        <w:rPr>
          <w:rFonts w:ascii="Times New Roman" w:hAnsi="Times New Roman" w:cs="Times New Roman"/>
        </w:rPr>
        <w:t>TAC’en</w:t>
      </w:r>
      <w:proofErr w:type="spellEnd"/>
      <w:r w:rsidRPr="00E66BC1">
        <w:rPr>
          <w:rFonts w:ascii="Times New Roman" w:hAnsi="Times New Roman" w:cs="Times New Roman"/>
        </w:rPr>
        <w:t xml:space="preserve"> hvert år fordeles i henhold til de tre foregående års fiskeri. Hvert underområde tildeles herefter en kvote, hvoraf 80 % tildeles i henhold til fordelingsnøglen og de sidste 20 % fordeles ligeligt mellem NAFO underområderne.</w:t>
      </w:r>
    </w:p>
    <w:p w14:paraId="706E50C6" w14:textId="71D3DBC9" w:rsidR="00566FD6" w:rsidRPr="00511DBE" w:rsidRDefault="004C088B" w:rsidP="00E66BC1">
      <w:pPr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DBE">
        <w:rPr>
          <w:rFonts w:ascii="Times New Roman" w:hAnsi="Times New Roman" w:cs="Times New Roman"/>
          <w:b/>
          <w:sz w:val="24"/>
          <w:szCs w:val="24"/>
        </w:rPr>
        <w:t>Tabel 6</w:t>
      </w:r>
      <w:r w:rsidR="00025452" w:rsidRPr="00511DBE">
        <w:rPr>
          <w:rFonts w:ascii="Times New Roman" w:hAnsi="Times New Roman" w:cs="Times New Roman"/>
          <w:b/>
          <w:sz w:val="24"/>
          <w:szCs w:val="24"/>
        </w:rPr>
        <w:t>: Kvoteallokering</w:t>
      </w:r>
      <w:r w:rsidR="00566FD6" w:rsidRPr="00511DBE">
        <w:rPr>
          <w:rFonts w:ascii="Times New Roman" w:hAnsi="Times New Roman" w:cs="Times New Roman"/>
          <w:b/>
          <w:sz w:val="24"/>
          <w:szCs w:val="24"/>
        </w:rPr>
        <w:t xml:space="preserve"> for stenbider for </w:t>
      </w:r>
      <w:r w:rsidR="00025452" w:rsidRPr="00511DBE">
        <w:rPr>
          <w:rFonts w:ascii="Times New Roman" w:hAnsi="Times New Roman" w:cs="Times New Roman"/>
          <w:b/>
          <w:sz w:val="24"/>
          <w:szCs w:val="24"/>
        </w:rPr>
        <w:t xml:space="preserve">2020 - </w:t>
      </w:r>
      <w:r w:rsidR="00566FD6" w:rsidRPr="00511DBE">
        <w:rPr>
          <w:rFonts w:ascii="Times New Roman" w:hAnsi="Times New Roman" w:cs="Times New Roman"/>
          <w:b/>
          <w:sz w:val="24"/>
          <w:szCs w:val="24"/>
        </w:rPr>
        <w:t>2022 (tons)</w:t>
      </w:r>
    </w:p>
    <w:tbl>
      <w:tblPr>
        <w:tblStyle w:val="Tabel-Gitter1"/>
        <w:tblpPr w:leftFromText="141" w:rightFromText="141" w:vertAnchor="text" w:horzAnchor="margin" w:tblpY="17"/>
        <w:tblW w:w="6941" w:type="dxa"/>
        <w:tblLayout w:type="fixed"/>
        <w:tblLook w:val="01E0" w:firstRow="1" w:lastRow="1" w:firstColumn="1" w:lastColumn="1" w:noHBand="0" w:noVBand="0"/>
      </w:tblPr>
      <w:tblGrid>
        <w:gridCol w:w="1938"/>
        <w:gridCol w:w="1601"/>
        <w:gridCol w:w="1701"/>
        <w:gridCol w:w="1701"/>
      </w:tblGrid>
      <w:tr w:rsidR="00025452" w:rsidRPr="00084791" w14:paraId="75FF1D31" w14:textId="4A9E4629" w:rsidTr="00025452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0CE1D14C" w14:textId="77777777" w:rsidR="00025452" w:rsidRPr="00084791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E26F732" w14:textId="77777777" w:rsidR="00025452" w:rsidRPr="00084791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14:paraId="47E627E8" w14:textId="77777777" w:rsidR="00025452" w:rsidRPr="00084791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601" w:type="dxa"/>
            <w:tcBorders>
              <w:bottom w:val="single" w:sz="4" w:space="0" w:color="auto"/>
            </w:tcBorders>
            <w:shd w:val="clear" w:color="auto" w:fill="BFBFBF"/>
          </w:tcPr>
          <w:p w14:paraId="6395DAF4" w14:textId="77777777" w:rsidR="00025452" w:rsidRPr="00084791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6FD9D28" w14:textId="377311B5" w:rsidR="00025452" w:rsidRPr="00084791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Kvoteallokering 2020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</w:tcPr>
          <w:p w14:paraId="4A82CB31" w14:textId="77777777" w:rsidR="00025452" w:rsidRPr="00084791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6B9F178" w14:textId="0DB75BB0" w:rsidR="00025452" w:rsidRPr="00084791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Kvoteallokering 2021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BFBFBF"/>
          </w:tcPr>
          <w:p w14:paraId="609D5B39" w14:textId="77777777" w:rsidR="00025452" w:rsidRPr="00084791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4F67820" w14:textId="4E4522DD" w:rsidR="00025452" w:rsidRPr="00084791" w:rsidRDefault="00025452" w:rsidP="00025452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Kvoteallokering</w:t>
            </w: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2022</w:t>
            </w:r>
          </w:p>
        </w:tc>
      </w:tr>
      <w:tr w:rsidR="00025452" w:rsidRPr="00084791" w14:paraId="5B75D069" w14:textId="6E6B264F" w:rsidTr="00025452">
        <w:trPr>
          <w:trHeight w:val="333"/>
        </w:trPr>
        <w:tc>
          <w:tcPr>
            <w:tcW w:w="1938" w:type="dxa"/>
            <w:shd w:val="clear" w:color="auto" w:fill="D9D9D9"/>
          </w:tcPr>
          <w:p w14:paraId="570FDC5B" w14:textId="0E6493AD" w:rsidR="00025452" w:rsidRPr="00084791" w:rsidRDefault="00025452" w:rsidP="00025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Stenbider</w:t>
            </w:r>
          </w:p>
        </w:tc>
        <w:tc>
          <w:tcPr>
            <w:tcW w:w="1601" w:type="dxa"/>
            <w:shd w:val="clear" w:color="auto" w:fill="D9D9D9"/>
          </w:tcPr>
          <w:p w14:paraId="16857D22" w14:textId="77777777" w:rsidR="00025452" w:rsidRPr="00084791" w:rsidRDefault="00025452" w:rsidP="00025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14:paraId="1A1E2E50" w14:textId="77777777" w:rsidR="00025452" w:rsidRPr="00084791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/>
          </w:tcPr>
          <w:p w14:paraId="1FA997DE" w14:textId="77777777" w:rsidR="00025452" w:rsidRPr="00084791" w:rsidRDefault="00025452" w:rsidP="00025452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025452" w:rsidRPr="00084791" w14:paraId="4F23C49D" w14:textId="4833DA2B" w:rsidTr="00025452">
        <w:trPr>
          <w:trHeight w:val="721"/>
        </w:trPr>
        <w:tc>
          <w:tcPr>
            <w:tcW w:w="1938" w:type="dxa"/>
          </w:tcPr>
          <w:p w14:paraId="51C92383" w14:textId="28656BC8" w:rsidR="00025452" w:rsidRPr="00084791" w:rsidRDefault="00025452" w:rsidP="00025452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1A</w:t>
            </w:r>
          </w:p>
        </w:tc>
        <w:tc>
          <w:tcPr>
            <w:tcW w:w="1601" w:type="dxa"/>
          </w:tcPr>
          <w:p w14:paraId="2C642A7D" w14:textId="1CB1E94A" w:rsidR="00025452" w:rsidRPr="00084791" w:rsidRDefault="00057F4D" w:rsidP="00025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127</w:t>
            </w:r>
          </w:p>
        </w:tc>
        <w:tc>
          <w:tcPr>
            <w:tcW w:w="1701" w:type="dxa"/>
          </w:tcPr>
          <w:p w14:paraId="19BEC558" w14:textId="3B40E309" w:rsidR="00025452" w:rsidRPr="00084791" w:rsidRDefault="00025452" w:rsidP="00025452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150,2</w:t>
            </w:r>
          </w:p>
        </w:tc>
        <w:tc>
          <w:tcPr>
            <w:tcW w:w="1701" w:type="dxa"/>
          </w:tcPr>
          <w:p w14:paraId="08457825" w14:textId="0FC4A222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197,5</w:t>
            </w:r>
          </w:p>
        </w:tc>
      </w:tr>
      <w:tr w:rsidR="00025452" w:rsidRPr="00084791" w14:paraId="55167AD5" w14:textId="6C1ED2B8" w:rsidTr="00025452">
        <w:trPr>
          <w:trHeight w:val="721"/>
        </w:trPr>
        <w:tc>
          <w:tcPr>
            <w:tcW w:w="1938" w:type="dxa"/>
          </w:tcPr>
          <w:p w14:paraId="2A3AA895" w14:textId="7D428F5E" w:rsidR="0002545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1Ba</w:t>
            </w:r>
          </w:p>
        </w:tc>
        <w:tc>
          <w:tcPr>
            <w:tcW w:w="1601" w:type="dxa"/>
          </w:tcPr>
          <w:p w14:paraId="27622509" w14:textId="06A20D2B" w:rsidR="0002545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113</w:t>
            </w:r>
          </w:p>
        </w:tc>
        <w:tc>
          <w:tcPr>
            <w:tcW w:w="1701" w:type="dxa"/>
          </w:tcPr>
          <w:p w14:paraId="7B3399FD" w14:textId="78BAE9D1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124,6</w:t>
            </w:r>
          </w:p>
        </w:tc>
        <w:tc>
          <w:tcPr>
            <w:tcW w:w="1701" w:type="dxa"/>
          </w:tcPr>
          <w:p w14:paraId="7586CE48" w14:textId="058CA408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160,3</w:t>
            </w:r>
          </w:p>
        </w:tc>
      </w:tr>
      <w:tr w:rsidR="00025452" w:rsidRPr="00084791" w14:paraId="31EA1B2A" w14:textId="4FA4A0A8" w:rsidTr="00025452">
        <w:trPr>
          <w:trHeight w:val="721"/>
        </w:trPr>
        <w:tc>
          <w:tcPr>
            <w:tcW w:w="1938" w:type="dxa"/>
          </w:tcPr>
          <w:p w14:paraId="5A73315E" w14:textId="4575FDD6" w:rsidR="0002545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1Bb</w:t>
            </w:r>
          </w:p>
        </w:tc>
        <w:tc>
          <w:tcPr>
            <w:tcW w:w="1601" w:type="dxa"/>
          </w:tcPr>
          <w:p w14:paraId="1039C3E2" w14:textId="7C5C0526" w:rsidR="0002545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39</w:t>
            </w:r>
          </w:p>
        </w:tc>
        <w:tc>
          <w:tcPr>
            <w:tcW w:w="1701" w:type="dxa"/>
          </w:tcPr>
          <w:p w14:paraId="131C7BB0" w14:textId="36479D61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57,3</w:t>
            </w:r>
          </w:p>
        </w:tc>
        <w:tc>
          <w:tcPr>
            <w:tcW w:w="1701" w:type="dxa"/>
          </w:tcPr>
          <w:p w14:paraId="79B43AA6" w14:textId="7F7D8ACA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73,1</w:t>
            </w:r>
          </w:p>
        </w:tc>
      </w:tr>
      <w:tr w:rsidR="00025452" w:rsidRPr="00084791" w14:paraId="1E752DCF" w14:textId="123AE88B" w:rsidTr="00025452">
        <w:trPr>
          <w:trHeight w:val="721"/>
        </w:trPr>
        <w:tc>
          <w:tcPr>
            <w:tcW w:w="1938" w:type="dxa"/>
          </w:tcPr>
          <w:p w14:paraId="3FA97B07" w14:textId="2D32997F" w:rsidR="0002545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1C</w:t>
            </w:r>
          </w:p>
        </w:tc>
        <w:tc>
          <w:tcPr>
            <w:tcW w:w="1601" w:type="dxa"/>
          </w:tcPr>
          <w:p w14:paraId="63E1814D" w14:textId="5D5FCD96" w:rsidR="0002545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255</w:t>
            </w:r>
          </w:p>
        </w:tc>
        <w:tc>
          <w:tcPr>
            <w:tcW w:w="1701" w:type="dxa"/>
          </w:tcPr>
          <w:p w14:paraId="5D2A44EE" w14:textId="2CC2E48F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272,1</w:t>
            </w:r>
          </w:p>
        </w:tc>
        <w:tc>
          <w:tcPr>
            <w:tcW w:w="1701" w:type="dxa"/>
          </w:tcPr>
          <w:p w14:paraId="78F7E83F" w14:textId="0E4256F4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332,2</w:t>
            </w:r>
          </w:p>
        </w:tc>
      </w:tr>
      <w:tr w:rsidR="00025452" w:rsidRPr="00084791" w14:paraId="133B6E08" w14:textId="5995AB3A" w:rsidTr="00025452">
        <w:trPr>
          <w:trHeight w:val="721"/>
        </w:trPr>
        <w:tc>
          <w:tcPr>
            <w:tcW w:w="1938" w:type="dxa"/>
          </w:tcPr>
          <w:p w14:paraId="369F6769" w14:textId="7A696C39" w:rsidR="0002545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1D</w:t>
            </w:r>
          </w:p>
        </w:tc>
        <w:tc>
          <w:tcPr>
            <w:tcW w:w="1601" w:type="dxa"/>
          </w:tcPr>
          <w:p w14:paraId="1C4F0AE0" w14:textId="2D55822C" w:rsidR="0002545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321</w:t>
            </w:r>
          </w:p>
        </w:tc>
        <w:tc>
          <w:tcPr>
            <w:tcW w:w="1701" w:type="dxa"/>
          </w:tcPr>
          <w:p w14:paraId="1F610426" w14:textId="743DDB52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329,2</w:t>
            </w:r>
          </w:p>
        </w:tc>
        <w:tc>
          <w:tcPr>
            <w:tcW w:w="1701" w:type="dxa"/>
          </w:tcPr>
          <w:p w14:paraId="5DD6B11A" w14:textId="220E93F4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372,0</w:t>
            </w:r>
          </w:p>
        </w:tc>
      </w:tr>
      <w:tr w:rsidR="00025452" w:rsidRPr="00084791" w14:paraId="76E288F3" w14:textId="105514E8" w:rsidTr="00025452">
        <w:trPr>
          <w:trHeight w:val="721"/>
        </w:trPr>
        <w:tc>
          <w:tcPr>
            <w:tcW w:w="1938" w:type="dxa"/>
          </w:tcPr>
          <w:p w14:paraId="7C2BEB02" w14:textId="24D04651" w:rsidR="0002545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1E</w:t>
            </w:r>
          </w:p>
        </w:tc>
        <w:tc>
          <w:tcPr>
            <w:tcW w:w="1601" w:type="dxa"/>
          </w:tcPr>
          <w:p w14:paraId="3BE39A9F" w14:textId="06C61247" w:rsidR="0002545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178</w:t>
            </w:r>
          </w:p>
        </w:tc>
        <w:tc>
          <w:tcPr>
            <w:tcW w:w="1701" w:type="dxa"/>
          </w:tcPr>
          <w:p w14:paraId="25AF9902" w14:textId="621D3C29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176,7</w:t>
            </w:r>
          </w:p>
        </w:tc>
        <w:tc>
          <w:tcPr>
            <w:tcW w:w="1701" w:type="dxa"/>
          </w:tcPr>
          <w:p w14:paraId="2B0FAF52" w14:textId="244EABCB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200,6</w:t>
            </w:r>
          </w:p>
        </w:tc>
      </w:tr>
      <w:tr w:rsidR="00025452" w:rsidRPr="00084791" w14:paraId="0E4A8855" w14:textId="13C5A89F" w:rsidTr="00025452">
        <w:trPr>
          <w:trHeight w:val="721"/>
        </w:trPr>
        <w:tc>
          <w:tcPr>
            <w:tcW w:w="1938" w:type="dxa"/>
          </w:tcPr>
          <w:p w14:paraId="3F0608A0" w14:textId="07CE7503" w:rsidR="00025452" w:rsidRDefault="00025452" w:rsidP="00025452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NAFO 1F</w:t>
            </w:r>
          </w:p>
        </w:tc>
        <w:tc>
          <w:tcPr>
            <w:tcW w:w="1601" w:type="dxa"/>
          </w:tcPr>
          <w:p w14:paraId="6585BB70" w14:textId="6D2C8940" w:rsidR="00025452" w:rsidRDefault="00057F4D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125</w:t>
            </w:r>
          </w:p>
        </w:tc>
        <w:tc>
          <w:tcPr>
            <w:tcW w:w="1701" w:type="dxa"/>
          </w:tcPr>
          <w:p w14:paraId="5674A54E" w14:textId="681E6CC3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117,7</w:t>
            </w:r>
          </w:p>
        </w:tc>
        <w:tc>
          <w:tcPr>
            <w:tcW w:w="1701" w:type="dxa"/>
          </w:tcPr>
          <w:p w14:paraId="20E28859" w14:textId="79214E67" w:rsidR="00025452" w:rsidRDefault="00025452" w:rsidP="00025452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139,5</w:t>
            </w:r>
          </w:p>
        </w:tc>
      </w:tr>
      <w:tr w:rsidR="00025452" w:rsidRPr="00084791" w14:paraId="4AEAA18A" w14:textId="2D9574BB" w:rsidTr="00025452">
        <w:trPr>
          <w:trHeight w:val="721"/>
        </w:trPr>
        <w:tc>
          <w:tcPr>
            <w:tcW w:w="1938" w:type="dxa"/>
          </w:tcPr>
          <w:p w14:paraId="15A5F439" w14:textId="25B72278" w:rsidR="00025452" w:rsidRPr="00BA661A" w:rsidRDefault="00025452" w:rsidP="00025452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BA661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Total</w:t>
            </w:r>
            <w:r w:rsidR="00630A9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 (tons)</w:t>
            </w:r>
          </w:p>
        </w:tc>
        <w:tc>
          <w:tcPr>
            <w:tcW w:w="1601" w:type="dxa"/>
          </w:tcPr>
          <w:p w14:paraId="1A96DEF7" w14:textId="657149E0" w:rsidR="00025452" w:rsidRPr="000F133A" w:rsidRDefault="00057F4D" w:rsidP="0002545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1.159</w:t>
            </w:r>
          </w:p>
        </w:tc>
        <w:tc>
          <w:tcPr>
            <w:tcW w:w="1701" w:type="dxa"/>
          </w:tcPr>
          <w:p w14:paraId="28F45C4F" w14:textId="7EC4DC9C" w:rsidR="00025452" w:rsidRPr="000F133A" w:rsidRDefault="00025452" w:rsidP="0002545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F133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1.229,4</w:t>
            </w:r>
          </w:p>
        </w:tc>
        <w:tc>
          <w:tcPr>
            <w:tcW w:w="1701" w:type="dxa"/>
          </w:tcPr>
          <w:p w14:paraId="59ABFED3" w14:textId="0DC9C673" w:rsidR="00025452" w:rsidRPr="000F133A" w:rsidRDefault="00025452" w:rsidP="00025452">
            <w:pPr>
              <w:jc w:val="both"/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</w:pPr>
            <w:r w:rsidRPr="000F133A">
              <w:rPr>
                <w:rFonts w:ascii="Times New Roman" w:eastAsia="Calibri" w:hAnsi="Times New Roman" w:cs="Times New Roman"/>
                <w:b/>
                <w:i/>
                <w:sz w:val="20"/>
                <w:szCs w:val="20"/>
              </w:rPr>
              <w:t>1.475,3</w:t>
            </w:r>
          </w:p>
        </w:tc>
      </w:tr>
    </w:tbl>
    <w:p w14:paraId="21274D1C" w14:textId="3DD74305" w:rsidR="00566FD6" w:rsidRDefault="00566FD6" w:rsidP="00E66BC1">
      <w:pPr>
        <w:ind w:right="-1532"/>
        <w:jc w:val="both"/>
        <w:rPr>
          <w:rFonts w:ascii="Times New Roman" w:hAnsi="Times New Roman" w:cs="Times New Roman"/>
        </w:rPr>
      </w:pPr>
    </w:p>
    <w:p w14:paraId="0632FD66" w14:textId="77777777" w:rsidR="00BA661A" w:rsidRPr="00E66BC1" w:rsidRDefault="00BA661A" w:rsidP="00E66BC1">
      <w:pPr>
        <w:ind w:right="-1532"/>
        <w:jc w:val="both"/>
        <w:rPr>
          <w:rFonts w:ascii="Times New Roman" w:hAnsi="Times New Roman" w:cs="Times New Roman"/>
        </w:rPr>
      </w:pPr>
    </w:p>
    <w:p w14:paraId="43CB0E49" w14:textId="77777777" w:rsidR="00E66BC1" w:rsidRPr="00E66BC1" w:rsidRDefault="00E66BC1" w:rsidP="00E66BC1">
      <w:pPr>
        <w:ind w:right="-1532"/>
        <w:rPr>
          <w:rFonts w:ascii="Times New Roman" w:hAnsi="Times New Roman" w:cs="Times New Roman"/>
        </w:rPr>
      </w:pPr>
    </w:p>
    <w:p w14:paraId="3FEEA827" w14:textId="6540A40F" w:rsidR="00E66BC1" w:rsidRPr="00E66BC1" w:rsidRDefault="00E66BC1" w:rsidP="00E7646A">
      <w:pPr>
        <w:ind w:right="-1532"/>
        <w:rPr>
          <w:rFonts w:ascii="Times New Roman" w:hAnsi="Times New Roman" w:cs="Times New Roman"/>
        </w:rPr>
      </w:pPr>
    </w:p>
    <w:p w14:paraId="37A435AD" w14:textId="33A388E1" w:rsidR="001B271F" w:rsidRDefault="001B271F" w:rsidP="00E7646A">
      <w:pPr>
        <w:ind w:right="-1532"/>
        <w:rPr>
          <w:rFonts w:ascii="Arial" w:hAnsi="Arial" w:cs="Arial"/>
          <w:sz w:val="20"/>
          <w:szCs w:val="20"/>
        </w:rPr>
      </w:pPr>
    </w:p>
    <w:p w14:paraId="23C6F502" w14:textId="4BA34231" w:rsidR="001B271F" w:rsidRDefault="001B271F" w:rsidP="00E7646A">
      <w:pPr>
        <w:ind w:right="-1532"/>
        <w:rPr>
          <w:rFonts w:ascii="Arial" w:hAnsi="Arial" w:cs="Arial"/>
          <w:sz w:val="20"/>
          <w:szCs w:val="20"/>
        </w:rPr>
      </w:pPr>
    </w:p>
    <w:p w14:paraId="512F1E14" w14:textId="522E3324" w:rsidR="00FD1301" w:rsidRDefault="00FD1301" w:rsidP="00E7646A">
      <w:pPr>
        <w:ind w:right="-1532"/>
        <w:rPr>
          <w:rFonts w:ascii="Arial" w:hAnsi="Arial" w:cs="Arial"/>
          <w:sz w:val="20"/>
          <w:szCs w:val="20"/>
        </w:rPr>
      </w:pPr>
    </w:p>
    <w:p w14:paraId="516CC23F" w14:textId="4F6471CA" w:rsidR="00FD1301" w:rsidRDefault="00FD1301" w:rsidP="00E7646A">
      <w:pPr>
        <w:ind w:right="-1532"/>
        <w:rPr>
          <w:rFonts w:ascii="Arial" w:hAnsi="Arial" w:cs="Arial"/>
          <w:sz w:val="20"/>
          <w:szCs w:val="20"/>
        </w:rPr>
      </w:pPr>
    </w:p>
    <w:p w14:paraId="5B6E4120" w14:textId="1B3B4952" w:rsidR="00FD1301" w:rsidRDefault="00FD1301" w:rsidP="00E7646A">
      <w:pPr>
        <w:ind w:right="-1532"/>
        <w:rPr>
          <w:rFonts w:ascii="Arial" w:hAnsi="Arial" w:cs="Arial"/>
          <w:sz w:val="20"/>
          <w:szCs w:val="20"/>
        </w:rPr>
      </w:pPr>
    </w:p>
    <w:p w14:paraId="4C788ABB" w14:textId="77A8A6B9" w:rsidR="00025452" w:rsidRDefault="00025452" w:rsidP="00E7646A">
      <w:pPr>
        <w:ind w:right="-1532"/>
        <w:rPr>
          <w:rFonts w:ascii="Arial" w:hAnsi="Arial" w:cs="Arial"/>
          <w:sz w:val="20"/>
          <w:szCs w:val="20"/>
        </w:rPr>
      </w:pPr>
    </w:p>
    <w:p w14:paraId="1C10FDBF" w14:textId="517961C3" w:rsidR="00025452" w:rsidRDefault="00025452" w:rsidP="00E7646A">
      <w:pPr>
        <w:ind w:right="-1532"/>
        <w:rPr>
          <w:rFonts w:ascii="Arial" w:hAnsi="Arial" w:cs="Arial"/>
          <w:sz w:val="20"/>
          <w:szCs w:val="20"/>
        </w:rPr>
      </w:pPr>
    </w:p>
    <w:p w14:paraId="38A85320" w14:textId="0A773DA4" w:rsidR="00025452" w:rsidRDefault="00025452" w:rsidP="00E7646A">
      <w:pPr>
        <w:ind w:right="-1532"/>
        <w:rPr>
          <w:rFonts w:ascii="Arial" w:hAnsi="Arial" w:cs="Arial"/>
          <w:sz w:val="20"/>
          <w:szCs w:val="20"/>
        </w:rPr>
      </w:pPr>
    </w:p>
    <w:p w14:paraId="1B84620B" w14:textId="119A1D42" w:rsidR="008A6B6A" w:rsidRDefault="008A6B6A" w:rsidP="00E7646A">
      <w:pPr>
        <w:ind w:right="-1532"/>
        <w:rPr>
          <w:rFonts w:ascii="Arial" w:hAnsi="Arial" w:cs="Arial"/>
          <w:sz w:val="20"/>
          <w:szCs w:val="20"/>
        </w:rPr>
      </w:pPr>
    </w:p>
    <w:p w14:paraId="60611EE1" w14:textId="2D287103" w:rsidR="008A6B6A" w:rsidRDefault="008A6B6A" w:rsidP="00E7646A">
      <w:pPr>
        <w:ind w:right="-1532"/>
        <w:rPr>
          <w:rFonts w:ascii="Arial" w:hAnsi="Arial" w:cs="Arial"/>
          <w:sz w:val="20"/>
          <w:szCs w:val="20"/>
        </w:rPr>
      </w:pPr>
    </w:p>
    <w:p w14:paraId="03843871" w14:textId="0A2FD352" w:rsidR="008A6B6A" w:rsidRDefault="008A6B6A" w:rsidP="00E7646A">
      <w:pPr>
        <w:ind w:right="-1532"/>
        <w:rPr>
          <w:rFonts w:ascii="Arial" w:hAnsi="Arial" w:cs="Arial"/>
          <w:sz w:val="20"/>
          <w:szCs w:val="20"/>
        </w:rPr>
      </w:pPr>
    </w:p>
    <w:p w14:paraId="67CAAED4" w14:textId="77777777" w:rsidR="008A6B6A" w:rsidRDefault="008A6B6A" w:rsidP="00E7646A">
      <w:pPr>
        <w:ind w:right="-1532"/>
        <w:rPr>
          <w:rFonts w:ascii="Arial" w:hAnsi="Arial" w:cs="Arial"/>
          <w:sz w:val="20"/>
          <w:szCs w:val="20"/>
        </w:rPr>
      </w:pPr>
    </w:p>
    <w:p w14:paraId="5EA39719" w14:textId="0D6C9806" w:rsidR="00802257" w:rsidRDefault="00802257" w:rsidP="00E7646A">
      <w:pPr>
        <w:ind w:right="-1532"/>
        <w:rPr>
          <w:rFonts w:ascii="Arial" w:hAnsi="Arial" w:cs="Arial"/>
          <w:sz w:val="20"/>
          <w:szCs w:val="20"/>
        </w:rPr>
      </w:pPr>
    </w:p>
    <w:p w14:paraId="1A10CE83" w14:textId="77777777" w:rsidR="00A444B9" w:rsidRDefault="00A444B9" w:rsidP="00E7646A">
      <w:pPr>
        <w:ind w:right="-1532"/>
        <w:rPr>
          <w:rFonts w:ascii="Arial" w:hAnsi="Arial" w:cs="Arial"/>
          <w:sz w:val="20"/>
          <w:szCs w:val="20"/>
        </w:rPr>
      </w:pPr>
    </w:p>
    <w:p w14:paraId="4DD67B27" w14:textId="6EEBD5B3" w:rsidR="00223225" w:rsidRPr="00C663A1" w:rsidRDefault="00223225" w:rsidP="00E7646A">
      <w:pPr>
        <w:pStyle w:val="Overskrift2"/>
        <w:pBdr>
          <w:bottom w:val="single" w:sz="4" w:space="1" w:color="auto"/>
        </w:pBdr>
        <w:spacing w:after="240"/>
        <w:ind w:right="-1532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lastRenderedPageBreak/>
        <w:t>Kammuslinger</w:t>
      </w:r>
    </w:p>
    <w:p w14:paraId="42A94F69" w14:textId="6EFF79A7" w:rsidR="00223225" w:rsidRDefault="00187415" w:rsidP="00187415">
      <w:pPr>
        <w:ind w:right="-1532"/>
        <w:jc w:val="both"/>
        <w:rPr>
          <w:rFonts w:ascii="Times New Roman" w:hAnsi="Times New Roman" w:cs="Times New Roman"/>
        </w:rPr>
      </w:pPr>
      <w:r w:rsidRPr="00187415">
        <w:rPr>
          <w:rFonts w:ascii="Times New Roman" w:hAnsi="Times New Roman" w:cs="Times New Roman"/>
        </w:rPr>
        <w:t xml:space="preserve">Der forelægger ingen videnskabelig rådgivning for kammuslinger. Der er for nuværende kun ét aktivt fartøj som fisker efter kammuslinger. Kvoten er ikke blevet fisket op i en årerække. Departementet for Fiskeri og Fangst foreslår på den baggrund at TAC fastholdes på samme niveau som for perioden 2019 – 2021 på i alt </w:t>
      </w:r>
      <w:r w:rsidRPr="00187415">
        <w:rPr>
          <w:rFonts w:ascii="Times New Roman" w:hAnsi="Times New Roman" w:cs="Times New Roman"/>
          <w:b/>
        </w:rPr>
        <w:t>2.520 tons</w:t>
      </w:r>
      <w:r w:rsidRPr="00187415">
        <w:rPr>
          <w:rFonts w:ascii="Times New Roman" w:hAnsi="Times New Roman" w:cs="Times New Roman"/>
        </w:rPr>
        <w:t>.</w:t>
      </w:r>
    </w:p>
    <w:p w14:paraId="59EAFE31" w14:textId="511E1B58" w:rsidR="00C824B5" w:rsidRDefault="00C824B5" w:rsidP="00187415">
      <w:pPr>
        <w:ind w:right="-1532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Forvaltningsområderne for kammuslinger har været fastsat i Bekendtgørelsen for TAC og Kvoter som er blevet udfaset. Derfor arbejder Departementet for Fiskeri og Fangst på en Bekendtgørelse for fiskeri efter kammuslinger for at sikre at forvaltningsområder og andet</w:t>
      </w:r>
      <w:r w:rsidR="00577407">
        <w:rPr>
          <w:rFonts w:ascii="Times New Roman" w:hAnsi="Times New Roman" w:cs="Times New Roman"/>
        </w:rPr>
        <w:t xml:space="preserve"> relevant for fiskeriet fortsat</w:t>
      </w:r>
      <w:r>
        <w:rPr>
          <w:rFonts w:ascii="Times New Roman" w:hAnsi="Times New Roman" w:cs="Times New Roman"/>
        </w:rPr>
        <w:t xml:space="preserve"> er dækket ind. Denne vil blive sendt i høring i Fiskerirådet snarest.</w:t>
      </w:r>
    </w:p>
    <w:p w14:paraId="04C7680F" w14:textId="2C4A6787" w:rsidR="008D2AC1" w:rsidRPr="00CA30FF" w:rsidRDefault="00187415" w:rsidP="00187415">
      <w:pPr>
        <w:ind w:right="-1532"/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TAC’en</w:t>
      </w:r>
      <w:proofErr w:type="spellEnd"/>
      <w:r>
        <w:rPr>
          <w:rFonts w:ascii="Times New Roman" w:hAnsi="Times New Roman" w:cs="Times New Roman"/>
        </w:rPr>
        <w:t xml:space="preserve"> for kammuslinger fordeles ud på forvaltningsområderne i henhold til tidligere års fordeling.</w:t>
      </w:r>
    </w:p>
    <w:p w14:paraId="07D1B92A" w14:textId="496A0ED2" w:rsidR="004C088B" w:rsidRPr="00511DBE" w:rsidRDefault="004C088B" w:rsidP="00187415">
      <w:pPr>
        <w:ind w:right="-1532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11DBE">
        <w:rPr>
          <w:rFonts w:ascii="Times New Roman" w:hAnsi="Times New Roman" w:cs="Times New Roman"/>
          <w:b/>
          <w:sz w:val="24"/>
          <w:szCs w:val="24"/>
        </w:rPr>
        <w:t>T</w:t>
      </w:r>
      <w:r w:rsidR="00511DBE">
        <w:rPr>
          <w:rFonts w:ascii="Times New Roman" w:hAnsi="Times New Roman" w:cs="Times New Roman"/>
          <w:b/>
          <w:sz w:val="24"/>
          <w:szCs w:val="24"/>
        </w:rPr>
        <w:t>abel 7: Kvoteforslag for kammus</w:t>
      </w:r>
      <w:r w:rsidRPr="00511DBE">
        <w:rPr>
          <w:rFonts w:ascii="Times New Roman" w:hAnsi="Times New Roman" w:cs="Times New Roman"/>
          <w:b/>
          <w:sz w:val="24"/>
          <w:szCs w:val="24"/>
        </w:rPr>
        <w:t>linger i 2022 (tons)</w:t>
      </w:r>
    </w:p>
    <w:tbl>
      <w:tblPr>
        <w:tblStyle w:val="Tabel-Gitter1"/>
        <w:tblpPr w:leftFromText="141" w:rightFromText="141" w:vertAnchor="text" w:horzAnchor="margin" w:tblpY="17"/>
        <w:tblW w:w="9854" w:type="dxa"/>
        <w:tblLayout w:type="fixed"/>
        <w:tblLook w:val="01E0" w:firstRow="1" w:lastRow="1" w:firstColumn="1" w:lastColumn="1" w:noHBand="0" w:noVBand="0"/>
      </w:tblPr>
      <w:tblGrid>
        <w:gridCol w:w="1938"/>
        <w:gridCol w:w="1382"/>
        <w:gridCol w:w="1382"/>
        <w:gridCol w:w="1190"/>
        <w:gridCol w:w="1230"/>
        <w:gridCol w:w="1161"/>
        <w:gridCol w:w="1571"/>
      </w:tblGrid>
      <w:tr w:rsidR="00187415" w:rsidRPr="00084791" w14:paraId="0CFD3EC7" w14:textId="77777777" w:rsidTr="00BE5E87">
        <w:trPr>
          <w:trHeight w:val="1196"/>
        </w:trPr>
        <w:tc>
          <w:tcPr>
            <w:tcW w:w="1938" w:type="dxa"/>
            <w:tcBorders>
              <w:bottom w:val="single" w:sz="4" w:space="0" w:color="auto"/>
            </w:tcBorders>
            <w:shd w:val="clear" w:color="auto" w:fill="BFBFBF"/>
          </w:tcPr>
          <w:p w14:paraId="0349FF0B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48C9FBF2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Art</w:t>
            </w:r>
          </w:p>
          <w:p w14:paraId="07D3608A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532B4EA5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F74F8D7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Rådgivning 2021</w:t>
            </w:r>
          </w:p>
        </w:tc>
        <w:tc>
          <w:tcPr>
            <w:tcW w:w="1382" w:type="dxa"/>
            <w:tcBorders>
              <w:bottom w:val="single" w:sz="4" w:space="0" w:color="auto"/>
            </w:tcBorders>
            <w:shd w:val="clear" w:color="auto" w:fill="BFBFBF"/>
          </w:tcPr>
          <w:p w14:paraId="057B3556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2B9E6ED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Rådgivning 2022 </w:t>
            </w:r>
          </w:p>
        </w:tc>
        <w:tc>
          <w:tcPr>
            <w:tcW w:w="1190" w:type="dxa"/>
            <w:tcBorders>
              <w:bottom w:val="single" w:sz="4" w:space="0" w:color="auto"/>
            </w:tcBorders>
            <w:shd w:val="clear" w:color="auto" w:fill="BFBFBF"/>
          </w:tcPr>
          <w:p w14:paraId="10DD0544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A1FBC27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 2020</w:t>
            </w:r>
          </w:p>
          <w:p w14:paraId="7E81CB5A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tcBorders>
              <w:bottom w:val="single" w:sz="4" w:space="0" w:color="auto"/>
            </w:tcBorders>
            <w:shd w:val="clear" w:color="auto" w:fill="BFBFBF"/>
          </w:tcPr>
          <w:p w14:paraId="54633BD2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FAD881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Kvotetræk 2020</w:t>
            </w:r>
          </w:p>
        </w:tc>
        <w:tc>
          <w:tcPr>
            <w:tcW w:w="1161" w:type="dxa"/>
            <w:tcBorders>
              <w:bottom w:val="single" w:sz="4" w:space="0" w:color="auto"/>
            </w:tcBorders>
            <w:shd w:val="clear" w:color="auto" w:fill="BFBFBF"/>
          </w:tcPr>
          <w:p w14:paraId="1B50B850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2BB9AD3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 2021</w:t>
            </w:r>
          </w:p>
        </w:tc>
        <w:tc>
          <w:tcPr>
            <w:tcW w:w="1571" w:type="dxa"/>
            <w:tcBorders>
              <w:bottom w:val="single" w:sz="4" w:space="0" w:color="auto"/>
            </w:tcBorders>
            <w:shd w:val="clear" w:color="auto" w:fill="BFBFBF"/>
          </w:tcPr>
          <w:p w14:paraId="722F483F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1AF3908D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84791">
              <w:rPr>
                <w:rFonts w:ascii="Times New Roman" w:hAnsi="Times New Roman" w:cs="Times New Roman"/>
                <w:b/>
                <w:sz w:val="20"/>
                <w:szCs w:val="20"/>
              </w:rPr>
              <w:t>Kvoteforslag 2022</w:t>
            </w:r>
          </w:p>
        </w:tc>
      </w:tr>
      <w:tr w:rsidR="00187415" w:rsidRPr="00084791" w14:paraId="410592D9" w14:textId="77777777" w:rsidTr="00BE5E87">
        <w:trPr>
          <w:trHeight w:val="333"/>
        </w:trPr>
        <w:tc>
          <w:tcPr>
            <w:tcW w:w="1938" w:type="dxa"/>
            <w:shd w:val="clear" w:color="auto" w:fill="D9D9D9"/>
          </w:tcPr>
          <w:p w14:paraId="6A5E0BB1" w14:textId="52BEF7D0" w:rsidR="00187415" w:rsidRPr="00084791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Kammuslinger</w:t>
            </w:r>
          </w:p>
        </w:tc>
        <w:tc>
          <w:tcPr>
            <w:tcW w:w="1382" w:type="dxa"/>
            <w:shd w:val="clear" w:color="auto" w:fill="D9D9D9"/>
          </w:tcPr>
          <w:p w14:paraId="34F3765E" w14:textId="77777777" w:rsidR="00187415" w:rsidRPr="00084791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382" w:type="dxa"/>
            <w:shd w:val="clear" w:color="auto" w:fill="D9D9D9"/>
          </w:tcPr>
          <w:p w14:paraId="7B10D1A8" w14:textId="77777777" w:rsidR="00187415" w:rsidRPr="00084791" w:rsidRDefault="00187415" w:rsidP="00BE5E87">
            <w:pPr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90" w:type="dxa"/>
            <w:shd w:val="clear" w:color="auto" w:fill="D9D9D9"/>
          </w:tcPr>
          <w:p w14:paraId="4F480E3F" w14:textId="77777777" w:rsidR="00187415" w:rsidRPr="00084791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30" w:type="dxa"/>
            <w:shd w:val="clear" w:color="auto" w:fill="D9D9D9"/>
          </w:tcPr>
          <w:p w14:paraId="1A57563D" w14:textId="77777777" w:rsidR="00187415" w:rsidRPr="00084791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61" w:type="dxa"/>
            <w:shd w:val="clear" w:color="auto" w:fill="D9D9D9"/>
          </w:tcPr>
          <w:p w14:paraId="2394235A" w14:textId="77777777" w:rsidR="00187415" w:rsidRPr="00084791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571" w:type="dxa"/>
            <w:shd w:val="clear" w:color="auto" w:fill="D9D9D9"/>
          </w:tcPr>
          <w:p w14:paraId="051CE839" w14:textId="77777777" w:rsidR="00187415" w:rsidRPr="00084791" w:rsidRDefault="00187415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</w:p>
        </w:tc>
      </w:tr>
      <w:tr w:rsidR="00187415" w:rsidRPr="00084791" w14:paraId="686683E4" w14:textId="77777777" w:rsidTr="00BE5E87">
        <w:trPr>
          <w:trHeight w:val="721"/>
        </w:trPr>
        <w:tc>
          <w:tcPr>
            <w:tcW w:w="1938" w:type="dxa"/>
          </w:tcPr>
          <w:p w14:paraId="0DDF54E5" w14:textId="3473B39C" w:rsidR="00187415" w:rsidRPr="00084791" w:rsidRDefault="00187415" w:rsidP="00BE5E87">
            <w:pPr>
              <w:spacing w:line="276" w:lineRule="auto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Nuuk</w:t>
            </w:r>
          </w:p>
        </w:tc>
        <w:tc>
          <w:tcPr>
            <w:tcW w:w="1382" w:type="dxa"/>
          </w:tcPr>
          <w:p w14:paraId="4BC8824C" w14:textId="5C41C6E0" w:rsidR="00187415" w:rsidRPr="00084791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</w:tcPr>
          <w:p w14:paraId="663B84C9" w14:textId="79074115" w:rsidR="00187415" w:rsidRPr="00084791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</w:tcPr>
          <w:p w14:paraId="1461F16F" w14:textId="0CC68852" w:rsidR="00187415" w:rsidRPr="00084791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230" w:type="dxa"/>
          </w:tcPr>
          <w:p w14:paraId="0C77DDB5" w14:textId="160450BD" w:rsidR="00187415" w:rsidRPr="00084791" w:rsidRDefault="00EC7317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97</w:t>
            </w:r>
          </w:p>
        </w:tc>
        <w:tc>
          <w:tcPr>
            <w:tcW w:w="1161" w:type="dxa"/>
          </w:tcPr>
          <w:p w14:paraId="6D812CF0" w14:textId="339D2CC1" w:rsidR="00187415" w:rsidRPr="00084791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  <w:tc>
          <w:tcPr>
            <w:tcW w:w="1571" w:type="dxa"/>
          </w:tcPr>
          <w:p w14:paraId="0FA5D845" w14:textId="7E91FA5A" w:rsidR="00187415" w:rsidRPr="00084791" w:rsidRDefault="0044499D" w:rsidP="00BE5E87">
            <w:pPr>
              <w:spacing w:line="276" w:lineRule="auto"/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720</w:t>
            </w:r>
          </w:p>
        </w:tc>
      </w:tr>
      <w:tr w:rsidR="00187415" w:rsidRPr="00084791" w14:paraId="02834E35" w14:textId="77777777" w:rsidTr="00BE5E87">
        <w:trPr>
          <w:trHeight w:val="721"/>
        </w:trPr>
        <w:tc>
          <w:tcPr>
            <w:tcW w:w="1938" w:type="dxa"/>
          </w:tcPr>
          <w:p w14:paraId="3FDE9DD7" w14:textId="5A383E6F" w:rsidR="00187415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Mudder-bugten</w:t>
            </w:r>
          </w:p>
        </w:tc>
        <w:tc>
          <w:tcPr>
            <w:tcW w:w="1382" w:type="dxa"/>
          </w:tcPr>
          <w:p w14:paraId="5A5A1D0B" w14:textId="1B3AEA12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</w:tcPr>
          <w:p w14:paraId="4E1903F7" w14:textId="20DA570F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</w:tcPr>
          <w:p w14:paraId="30B9F3D2" w14:textId="639C161E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230" w:type="dxa"/>
          </w:tcPr>
          <w:p w14:paraId="68CB9801" w14:textId="03CD9595" w:rsidR="00187415" w:rsidRPr="00084791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161" w:type="dxa"/>
          </w:tcPr>
          <w:p w14:paraId="65933A99" w14:textId="4ABB535F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571" w:type="dxa"/>
          </w:tcPr>
          <w:p w14:paraId="5C3BF06C" w14:textId="440CE7D3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</w:tr>
      <w:tr w:rsidR="00187415" w:rsidRPr="00084791" w14:paraId="2920247B" w14:textId="77777777" w:rsidTr="00BE5E87">
        <w:trPr>
          <w:trHeight w:val="721"/>
        </w:trPr>
        <w:tc>
          <w:tcPr>
            <w:tcW w:w="1938" w:type="dxa"/>
          </w:tcPr>
          <w:p w14:paraId="025BFB1C" w14:textId="7F194935" w:rsidR="00187415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Attu</w:t>
            </w:r>
            <w:proofErr w:type="spellEnd"/>
          </w:p>
        </w:tc>
        <w:tc>
          <w:tcPr>
            <w:tcW w:w="1382" w:type="dxa"/>
          </w:tcPr>
          <w:p w14:paraId="1DBD08F7" w14:textId="6344FC85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</w:tcPr>
          <w:p w14:paraId="780DA126" w14:textId="30831248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</w:tcPr>
          <w:p w14:paraId="3DEC148F" w14:textId="7ABD868A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30" w:type="dxa"/>
          </w:tcPr>
          <w:p w14:paraId="24DD7F34" w14:textId="3AE9FF64" w:rsidR="00187415" w:rsidRPr="00084791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149</w:t>
            </w:r>
          </w:p>
        </w:tc>
        <w:tc>
          <w:tcPr>
            <w:tcW w:w="1161" w:type="dxa"/>
          </w:tcPr>
          <w:p w14:paraId="6065ABC8" w14:textId="62915688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71" w:type="dxa"/>
          </w:tcPr>
          <w:p w14:paraId="377BF2D8" w14:textId="6971B916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</w:tr>
      <w:tr w:rsidR="00187415" w:rsidRPr="00084791" w14:paraId="67C0F7DF" w14:textId="77777777" w:rsidTr="00BE5E87">
        <w:trPr>
          <w:trHeight w:val="721"/>
        </w:trPr>
        <w:tc>
          <w:tcPr>
            <w:tcW w:w="1938" w:type="dxa"/>
          </w:tcPr>
          <w:p w14:paraId="51F0DCC2" w14:textId="37E6AE25" w:rsidR="00187415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Sisimiut-syd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Saqqaq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</w:tcPr>
          <w:p w14:paraId="2051D4B9" w14:textId="00197D3E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</w:tcPr>
          <w:p w14:paraId="7E5A7EC4" w14:textId="61E34854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</w:tcPr>
          <w:p w14:paraId="70BE22EE" w14:textId="4E0CE378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230" w:type="dxa"/>
          </w:tcPr>
          <w:p w14:paraId="494EFCDF" w14:textId="702C8C29" w:rsidR="00187415" w:rsidRPr="00084791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7647CCF4" w14:textId="122BF5FA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  <w:tc>
          <w:tcPr>
            <w:tcW w:w="1571" w:type="dxa"/>
          </w:tcPr>
          <w:p w14:paraId="3B8E9398" w14:textId="0389392B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400</w:t>
            </w:r>
          </w:p>
        </w:tc>
      </w:tr>
      <w:tr w:rsidR="00187415" w:rsidRPr="00084791" w14:paraId="6CB5821C" w14:textId="77777777" w:rsidTr="00BE5E87">
        <w:trPr>
          <w:trHeight w:val="721"/>
        </w:trPr>
        <w:tc>
          <w:tcPr>
            <w:tcW w:w="1938" w:type="dxa"/>
          </w:tcPr>
          <w:p w14:paraId="272AACBA" w14:textId="4404E91D" w:rsidR="00187415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Sisimiut-nord (</w:t>
            </w:r>
            <w:proofErr w:type="spellStart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Kangaarsuk</w:t>
            </w:r>
            <w:proofErr w:type="spellEnd"/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382" w:type="dxa"/>
          </w:tcPr>
          <w:p w14:paraId="2B312F0B" w14:textId="20C350C8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</w:tcPr>
          <w:p w14:paraId="18E679D0" w14:textId="53064F56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</w:tcPr>
          <w:p w14:paraId="5CDBD89C" w14:textId="2123104E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230" w:type="dxa"/>
          </w:tcPr>
          <w:p w14:paraId="7911AD6A" w14:textId="6A7DCA03" w:rsidR="00187415" w:rsidRPr="00084791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295</w:t>
            </w:r>
          </w:p>
        </w:tc>
        <w:tc>
          <w:tcPr>
            <w:tcW w:w="1161" w:type="dxa"/>
          </w:tcPr>
          <w:p w14:paraId="3636A60F" w14:textId="6A23ED03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  <w:tc>
          <w:tcPr>
            <w:tcW w:w="1571" w:type="dxa"/>
          </w:tcPr>
          <w:p w14:paraId="698D4C50" w14:textId="395BBD3D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700</w:t>
            </w:r>
          </w:p>
        </w:tc>
      </w:tr>
      <w:tr w:rsidR="00187415" w:rsidRPr="00084791" w14:paraId="0939C18F" w14:textId="77777777" w:rsidTr="00BE5E87">
        <w:trPr>
          <w:trHeight w:val="721"/>
        </w:trPr>
        <w:tc>
          <w:tcPr>
            <w:tcW w:w="1938" w:type="dxa"/>
          </w:tcPr>
          <w:p w14:paraId="099D557B" w14:textId="4A854A39" w:rsidR="00187415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Nordre-Strømfjord</w:t>
            </w:r>
          </w:p>
        </w:tc>
        <w:tc>
          <w:tcPr>
            <w:tcW w:w="1382" w:type="dxa"/>
          </w:tcPr>
          <w:p w14:paraId="73E50495" w14:textId="13B9A0C1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</w:tcPr>
          <w:p w14:paraId="33EDAB1C" w14:textId="48E5740D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</w:tcPr>
          <w:p w14:paraId="3FCA2910" w14:textId="1A269D7D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230" w:type="dxa"/>
          </w:tcPr>
          <w:p w14:paraId="49962720" w14:textId="27BD99A2" w:rsidR="00187415" w:rsidRPr="00084791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2067C813" w14:textId="5B271E02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  <w:tc>
          <w:tcPr>
            <w:tcW w:w="1571" w:type="dxa"/>
          </w:tcPr>
          <w:p w14:paraId="48734563" w14:textId="516533D7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300</w:t>
            </w:r>
          </w:p>
        </w:tc>
      </w:tr>
      <w:tr w:rsidR="00187415" w:rsidRPr="00084791" w14:paraId="68635F73" w14:textId="77777777" w:rsidTr="00BE5E87">
        <w:trPr>
          <w:trHeight w:val="721"/>
        </w:trPr>
        <w:tc>
          <w:tcPr>
            <w:tcW w:w="1938" w:type="dxa"/>
          </w:tcPr>
          <w:p w14:paraId="7520DCD1" w14:textId="353A5B26" w:rsidR="00187415" w:rsidRDefault="00187415" w:rsidP="00BE5E87">
            <w:pPr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Øvrig Grønland</w:t>
            </w:r>
          </w:p>
        </w:tc>
        <w:tc>
          <w:tcPr>
            <w:tcW w:w="1382" w:type="dxa"/>
          </w:tcPr>
          <w:p w14:paraId="08C437FD" w14:textId="5773F3F2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382" w:type="dxa"/>
          </w:tcPr>
          <w:p w14:paraId="6AA49456" w14:textId="46CB9A39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rådgivning</w:t>
            </w:r>
          </w:p>
        </w:tc>
        <w:tc>
          <w:tcPr>
            <w:tcW w:w="1190" w:type="dxa"/>
          </w:tcPr>
          <w:p w14:paraId="46DBA69F" w14:textId="3B3D0DA0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grænse</w:t>
            </w:r>
          </w:p>
        </w:tc>
        <w:tc>
          <w:tcPr>
            <w:tcW w:w="1230" w:type="dxa"/>
          </w:tcPr>
          <w:p w14:paraId="7393F381" w14:textId="2A77243F" w:rsidR="00187415" w:rsidRPr="00084791" w:rsidRDefault="00EC7317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61" w:type="dxa"/>
          </w:tcPr>
          <w:p w14:paraId="0DF1A296" w14:textId="3084816B" w:rsidR="00187415" w:rsidRPr="00084791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grænse</w:t>
            </w:r>
          </w:p>
        </w:tc>
        <w:tc>
          <w:tcPr>
            <w:tcW w:w="1571" w:type="dxa"/>
          </w:tcPr>
          <w:p w14:paraId="09F71EC0" w14:textId="2DBF392C" w:rsidR="00187415" w:rsidRDefault="0044499D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</w:rPr>
              <w:t>Ingen grænse</w:t>
            </w:r>
          </w:p>
        </w:tc>
      </w:tr>
      <w:tr w:rsidR="00187415" w:rsidRPr="00084791" w14:paraId="4AFE5190" w14:textId="77777777" w:rsidTr="00BE5E87">
        <w:trPr>
          <w:trHeight w:val="721"/>
        </w:trPr>
        <w:tc>
          <w:tcPr>
            <w:tcW w:w="1938" w:type="dxa"/>
          </w:tcPr>
          <w:p w14:paraId="7F233AC8" w14:textId="6B7B05A6" w:rsidR="00187415" w:rsidRPr="00187415" w:rsidRDefault="00187415" w:rsidP="00BE5E87">
            <w:pPr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18741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I alt</w:t>
            </w:r>
          </w:p>
        </w:tc>
        <w:tc>
          <w:tcPr>
            <w:tcW w:w="1382" w:type="dxa"/>
          </w:tcPr>
          <w:p w14:paraId="05931461" w14:textId="77777777" w:rsidR="00187415" w:rsidRDefault="00187415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382" w:type="dxa"/>
          </w:tcPr>
          <w:p w14:paraId="76817B51" w14:textId="77777777" w:rsidR="00187415" w:rsidRDefault="00187415" w:rsidP="00BE5E87">
            <w:pPr>
              <w:jc w:val="both"/>
              <w:rPr>
                <w:rFonts w:ascii="Times New Roman" w:eastAsia="Calibri" w:hAnsi="Times New Roman" w:cs="Times New Roman"/>
                <w:sz w:val="20"/>
                <w:szCs w:val="20"/>
              </w:rPr>
            </w:pPr>
          </w:p>
        </w:tc>
        <w:tc>
          <w:tcPr>
            <w:tcW w:w="1190" w:type="dxa"/>
          </w:tcPr>
          <w:p w14:paraId="6064C776" w14:textId="583D73F9" w:rsidR="00187415" w:rsidRPr="0044499D" w:rsidRDefault="0044499D" w:rsidP="00BE5E8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49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2.520</w:t>
            </w:r>
          </w:p>
        </w:tc>
        <w:tc>
          <w:tcPr>
            <w:tcW w:w="1230" w:type="dxa"/>
          </w:tcPr>
          <w:p w14:paraId="1544EF95" w14:textId="5BCC00A0" w:rsidR="00187415" w:rsidRPr="006617C5" w:rsidRDefault="00EC7317" w:rsidP="00BE5E8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6617C5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541</w:t>
            </w:r>
          </w:p>
        </w:tc>
        <w:tc>
          <w:tcPr>
            <w:tcW w:w="1161" w:type="dxa"/>
          </w:tcPr>
          <w:p w14:paraId="10A7E852" w14:textId="671D8E34" w:rsidR="00187415" w:rsidRPr="0044499D" w:rsidRDefault="0044499D" w:rsidP="00BE5E8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49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2.520</w:t>
            </w:r>
          </w:p>
        </w:tc>
        <w:tc>
          <w:tcPr>
            <w:tcW w:w="1571" w:type="dxa"/>
          </w:tcPr>
          <w:p w14:paraId="14884651" w14:textId="4F651F08" w:rsidR="00187415" w:rsidRPr="0044499D" w:rsidRDefault="0044499D" w:rsidP="00BE5E87">
            <w:pPr>
              <w:jc w:val="both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44499D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>2.520</w:t>
            </w:r>
          </w:p>
        </w:tc>
      </w:tr>
    </w:tbl>
    <w:p w14:paraId="7FC76C26" w14:textId="77777777" w:rsidR="00187415" w:rsidRPr="00187415" w:rsidRDefault="00187415" w:rsidP="00187415">
      <w:pPr>
        <w:ind w:right="-1532"/>
        <w:jc w:val="both"/>
        <w:rPr>
          <w:rFonts w:ascii="Times New Roman" w:hAnsi="Times New Roman" w:cs="Times New Roman"/>
        </w:rPr>
      </w:pPr>
    </w:p>
    <w:sectPr w:rsidR="00187415" w:rsidRPr="00187415" w:rsidSect="0057127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843" w:right="2835" w:bottom="737" w:left="1247" w:header="567" w:footer="4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4CC7FCC" w14:textId="77777777" w:rsidR="00560F32" w:rsidRDefault="00560F32" w:rsidP="00FA2B29">
      <w:pPr>
        <w:spacing w:after="0" w:line="240" w:lineRule="auto"/>
      </w:pPr>
      <w:r>
        <w:separator/>
      </w:r>
    </w:p>
  </w:endnote>
  <w:endnote w:type="continuationSeparator" w:id="0">
    <w:p w14:paraId="39DB8115" w14:textId="77777777" w:rsidR="00560F32" w:rsidRDefault="00560F32" w:rsidP="00FA2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10BF32" w14:textId="77777777" w:rsidR="001851AA" w:rsidRDefault="001851AA">
    <w:pPr>
      <w:pStyle w:val="Sidefod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23667999"/>
      <w:docPartObj>
        <w:docPartGallery w:val="Page Numbers (Bottom of Page)"/>
        <w:docPartUnique/>
      </w:docPartObj>
    </w:sdtPr>
    <w:sdtEndPr/>
    <w:sdtContent>
      <w:p w14:paraId="36B91FF0" w14:textId="514F01D9" w:rsidR="00E534E9" w:rsidRDefault="00E534E9">
        <w:pPr>
          <w:pStyle w:val="Sidefod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F0C26">
          <w:rPr>
            <w:noProof/>
          </w:rPr>
          <w:t>5</w:t>
        </w:r>
        <w:r>
          <w:fldChar w:fldCharType="end"/>
        </w:r>
      </w:p>
    </w:sdtContent>
  </w:sdt>
  <w:p w14:paraId="770B1DC4" w14:textId="77777777" w:rsidR="00E534E9" w:rsidRDefault="00E534E9">
    <w:pPr>
      <w:pStyle w:val="Sidefod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E2170E" w14:textId="77777777" w:rsidR="00E534E9" w:rsidRDefault="00E534E9" w:rsidP="00160515">
    <w:pPr>
      <w:pStyle w:val="Sidefod"/>
    </w:pPr>
  </w:p>
  <w:p w14:paraId="0E9B41CA" w14:textId="77777777" w:rsidR="00E534E9" w:rsidRDefault="00E534E9">
    <w:pPr>
      <w:pStyle w:val="Sidefod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F7BF92" w14:textId="77777777" w:rsidR="00560F32" w:rsidRDefault="00560F32" w:rsidP="00FA2B29">
      <w:pPr>
        <w:spacing w:after="0" w:line="240" w:lineRule="auto"/>
      </w:pPr>
      <w:r>
        <w:separator/>
      </w:r>
    </w:p>
  </w:footnote>
  <w:footnote w:type="continuationSeparator" w:id="0">
    <w:p w14:paraId="55E26119" w14:textId="77777777" w:rsidR="00560F32" w:rsidRDefault="00560F32" w:rsidP="00FA2B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248D0E" w14:textId="77777777" w:rsidR="001851AA" w:rsidRDefault="001851AA">
    <w:pPr>
      <w:pStyle w:val="Sidehove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18FC934" w14:textId="77777777" w:rsidR="001851AA" w:rsidRDefault="001851AA">
    <w:pPr>
      <w:pStyle w:val="Sidehove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4B3729" w14:textId="77777777" w:rsidR="001851AA" w:rsidRDefault="00560F32" w:rsidP="001851AA">
    <w:pPr>
      <w:pStyle w:val="Lillev"/>
    </w:pPr>
    <w:sdt>
      <w:sdtPr>
        <w:id w:val="1009559856"/>
        <w:docPartObj>
          <w:docPartGallery w:val="Watermarks"/>
          <w:docPartUnique/>
        </w:docPartObj>
      </w:sdtPr>
      <w:sdtEndPr/>
      <w:sdtContent>
        <w:r w:rsidR="001851AA">
          <w:rPr>
            <w:noProof/>
            <w:lang w:eastAsia="da-DK"/>
          </w:rPr>
          <w:drawing>
            <wp:anchor distT="0" distB="0" distL="114300" distR="114300" simplePos="0" relativeHeight="251658240" behindDoc="1" locked="1" layoutInCell="1" allowOverlap="1" wp14:anchorId="34232875" wp14:editId="43D3DE5B">
              <wp:simplePos x="0" y="0"/>
              <wp:positionH relativeFrom="column">
                <wp:posOffset>266700</wp:posOffset>
              </wp:positionH>
              <wp:positionV relativeFrom="page">
                <wp:posOffset>5404485</wp:posOffset>
              </wp:positionV>
              <wp:extent cx="6504940" cy="5292725"/>
              <wp:effectExtent l="0" t="0" r="0" b="3175"/>
              <wp:wrapNone/>
              <wp:docPr id="1" name="Billede 1" descr="NANOQ_stor_gradiant_blaa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NANOQ_stor_gradiant_blaa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504940" cy="5292725"/>
                      </a:xfrm>
                      <a:prstGeom prst="rect">
                        <a:avLst/>
                      </a:prstGeom>
                      <a:noFill/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</w:sdtContent>
    </w:sdt>
    <w:r w:rsidR="001851AA">
      <w:t xml:space="preserve">   </w:t>
    </w:r>
  </w:p>
  <w:p w14:paraId="538FD219" w14:textId="77777777" w:rsidR="001851AA" w:rsidRPr="00AB566E" w:rsidRDefault="001851AA" w:rsidP="001851AA">
    <w:pPr>
      <w:pStyle w:val="Lillev"/>
    </w:pPr>
    <w:r>
      <w:rPr>
        <w:noProof/>
        <w:lang w:eastAsia="da-DK"/>
      </w:rPr>
      <w:drawing>
        <wp:anchor distT="0" distB="0" distL="114300" distR="114300" simplePos="0" relativeHeight="251657216" behindDoc="0" locked="1" layoutInCell="1" allowOverlap="1" wp14:anchorId="32061855" wp14:editId="2EE05576">
          <wp:simplePos x="0" y="0"/>
          <wp:positionH relativeFrom="column">
            <wp:posOffset>4219575</wp:posOffset>
          </wp:positionH>
          <wp:positionV relativeFrom="page">
            <wp:posOffset>382905</wp:posOffset>
          </wp:positionV>
          <wp:extent cx="2162175" cy="714375"/>
          <wp:effectExtent l="0" t="0" r="9525" b="9525"/>
          <wp:wrapNone/>
          <wp:docPr id="3" name="Billede 3" descr="Nanoq_logo_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Nanoq_logo_rgb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2175" cy="7143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proofErr w:type="spellStart"/>
    <w:r w:rsidRPr="003F14E0">
      <w:t>Aalisarnermut</w:t>
    </w:r>
    <w:proofErr w:type="spellEnd"/>
    <w:r w:rsidRPr="003F14E0">
      <w:t xml:space="preserve"> </w:t>
    </w:r>
    <w:proofErr w:type="spellStart"/>
    <w:r w:rsidRPr="003F14E0">
      <w:t>Piniarnermu</w:t>
    </w:r>
    <w:r>
      <w:t>llu</w:t>
    </w:r>
    <w:proofErr w:type="spellEnd"/>
    <w:r w:rsidRPr="003F14E0">
      <w:t xml:space="preserve"> </w:t>
    </w:r>
    <w:proofErr w:type="spellStart"/>
    <w:r w:rsidRPr="003F14E0">
      <w:t>Naalakkersuisoqarfik</w:t>
    </w:r>
    <w:proofErr w:type="spellEnd"/>
  </w:p>
  <w:p w14:paraId="4F7BE2E2" w14:textId="77777777" w:rsidR="001851AA" w:rsidRDefault="001851AA" w:rsidP="001851AA">
    <w:pPr>
      <w:pStyle w:val="Lillev"/>
    </w:pPr>
    <w:r>
      <w:t>Departementet for Fiskeri og Fangst</w:t>
    </w:r>
  </w:p>
  <w:p w14:paraId="5EBBD982" w14:textId="77777777" w:rsidR="00E534E9" w:rsidRPr="001851AA" w:rsidRDefault="00E534E9" w:rsidP="001851AA">
    <w:pPr>
      <w:pStyle w:val="Sidehove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C932DE"/>
    <w:multiLevelType w:val="hybridMultilevel"/>
    <w:tmpl w:val="78606D62"/>
    <w:lvl w:ilvl="0" w:tplc="F0A45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0313D"/>
    <w:multiLevelType w:val="hybridMultilevel"/>
    <w:tmpl w:val="5A24B2A4"/>
    <w:lvl w:ilvl="0" w:tplc="F8E276DE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D51083"/>
    <w:multiLevelType w:val="hybridMultilevel"/>
    <w:tmpl w:val="5A18CCEA"/>
    <w:lvl w:ilvl="0" w:tplc="F0A459AA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E00058"/>
    <w:multiLevelType w:val="hybridMultilevel"/>
    <w:tmpl w:val="969EA740"/>
    <w:lvl w:ilvl="0" w:tplc="D1B6BEDC">
      <w:start w:val="12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da-DK" w:vendorID="64" w:dllVersion="131078" w:nlCheck="1" w:checkStyle="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A4B"/>
    <w:rsid w:val="00016900"/>
    <w:rsid w:val="00020335"/>
    <w:rsid w:val="00025452"/>
    <w:rsid w:val="00027D8E"/>
    <w:rsid w:val="0003701E"/>
    <w:rsid w:val="00041C18"/>
    <w:rsid w:val="000565D8"/>
    <w:rsid w:val="00057F4D"/>
    <w:rsid w:val="00083022"/>
    <w:rsid w:val="000A7402"/>
    <w:rsid w:val="000C7BEB"/>
    <w:rsid w:val="000D663C"/>
    <w:rsid w:val="000F133A"/>
    <w:rsid w:val="000F1BD4"/>
    <w:rsid w:val="001113B9"/>
    <w:rsid w:val="00111E2F"/>
    <w:rsid w:val="00115CBD"/>
    <w:rsid w:val="001251A4"/>
    <w:rsid w:val="00126488"/>
    <w:rsid w:val="001265F5"/>
    <w:rsid w:val="00126CF6"/>
    <w:rsid w:val="00160515"/>
    <w:rsid w:val="00165FFA"/>
    <w:rsid w:val="001807E2"/>
    <w:rsid w:val="001851AA"/>
    <w:rsid w:val="00187415"/>
    <w:rsid w:val="001A1BA1"/>
    <w:rsid w:val="001B271F"/>
    <w:rsid w:val="001B390D"/>
    <w:rsid w:val="001C6D60"/>
    <w:rsid w:val="001C73EC"/>
    <w:rsid w:val="001D4548"/>
    <w:rsid w:val="001E67E7"/>
    <w:rsid w:val="001F3B9C"/>
    <w:rsid w:val="001F5805"/>
    <w:rsid w:val="002037A6"/>
    <w:rsid w:val="00223225"/>
    <w:rsid w:val="002307AA"/>
    <w:rsid w:val="002463BD"/>
    <w:rsid w:val="00251070"/>
    <w:rsid w:val="002801A0"/>
    <w:rsid w:val="00281130"/>
    <w:rsid w:val="0029398F"/>
    <w:rsid w:val="002A3544"/>
    <w:rsid w:val="002B02C4"/>
    <w:rsid w:val="002B0300"/>
    <w:rsid w:val="002B6145"/>
    <w:rsid w:val="002C0FD5"/>
    <w:rsid w:val="002C65C8"/>
    <w:rsid w:val="003329F5"/>
    <w:rsid w:val="003333AA"/>
    <w:rsid w:val="00333AD5"/>
    <w:rsid w:val="0034347E"/>
    <w:rsid w:val="00347B8F"/>
    <w:rsid w:val="00354763"/>
    <w:rsid w:val="00354CA3"/>
    <w:rsid w:val="003562BA"/>
    <w:rsid w:val="0036445B"/>
    <w:rsid w:val="00367ACB"/>
    <w:rsid w:val="00393CBA"/>
    <w:rsid w:val="00395906"/>
    <w:rsid w:val="0039651A"/>
    <w:rsid w:val="003A2B08"/>
    <w:rsid w:val="003A467F"/>
    <w:rsid w:val="003B4058"/>
    <w:rsid w:val="003C38E2"/>
    <w:rsid w:val="003E2A35"/>
    <w:rsid w:val="003E6355"/>
    <w:rsid w:val="00417761"/>
    <w:rsid w:val="00421CBE"/>
    <w:rsid w:val="00422DCB"/>
    <w:rsid w:val="004402D4"/>
    <w:rsid w:val="0044499D"/>
    <w:rsid w:val="004451EF"/>
    <w:rsid w:val="004516FC"/>
    <w:rsid w:val="004613D8"/>
    <w:rsid w:val="00465A30"/>
    <w:rsid w:val="00466E5A"/>
    <w:rsid w:val="004705EC"/>
    <w:rsid w:val="004C07B6"/>
    <w:rsid w:val="004C088B"/>
    <w:rsid w:val="004E4FE2"/>
    <w:rsid w:val="004E6C67"/>
    <w:rsid w:val="004F0580"/>
    <w:rsid w:val="00501BF3"/>
    <w:rsid w:val="005034F9"/>
    <w:rsid w:val="00511DBE"/>
    <w:rsid w:val="00530581"/>
    <w:rsid w:val="00534448"/>
    <w:rsid w:val="00554742"/>
    <w:rsid w:val="00560F32"/>
    <w:rsid w:val="00566FD6"/>
    <w:rsid w:val="0057081A"/>
    <w:rsid w:val="00571277"/>
    <w:rsid w:val="00577407"/>
    <w:rsid w:val="00580A90"/>
    <w:rsid w:val="005963E7"/>
    <w:rsid w:val="005A226D"/>
    <w:rsid w:val="005B57AE"/>
    <w:rsid w:val="006019D2"/>
    <w:rsid w:val="00601B3B"/>
    <w:rsid w:val="00602EC4"/>
    <w:rsid w:val="0060707D"/>
    <w:rsid w:val="0060765D"/>
    <w:rsid w:val="0062154D"/>
    <w:rsid w:val="00624582"/>
    <w:rsid w:val="00630A95"/>
    <w:rsid w:val="00653B42"/>
    <w:rsid w:val="00656530"/>
    <w:rsid w:val="006617C5"/>
    <w:rsid w:val="00674932"/>
    <w:rsid w:val="00683F28"/>
    <w:rsid w:val="0068448E"/>
    <w:rsid w:val="00697400"/>
    <w:rsid w:val="006C558F"/>
    <w:rsid w:val="006C67D0"/>
    <w:rsid w:val="006D62DC"/>
    <w:rsid w:val="006E4455"/>
    <w:rsid w:val="006E700F"/>
    <w:rsid w:val="00701658"/>
    <w:rsid w:val="00705B1C"/>
    <w:rsid w:val="00714A90"/>
    <w:rsid w:val="00716429"/>
    <w:rsid w:val="007471ED"/>
    <w:rsid w:val="00764D04"/>
    <w:rsid w:val="00773A4B"/>
    <w:rsid w:val="00782DDE"/>
    <w:rsid w:val="00791768"/>
    <w:rsid w:val="007A04AE"/>
    <w:rsid w:val="007B4471"/>
    <w:rsid w:val="007D04F8"/>
    <w:rsid w:val="007D3B61"/>
    <w:rsid w:val="007D7EDB"/>
    <w:rsid w:val="007E64A3"/>
    <w:rsid w:val="007F0475"/>
    <w:rsid w:val="007F1996"/>
    <w:rsid w:val="007F1EF6"/>
    <w:rsid w:val="007F3259"/>
    <w:rsid w:val="007F378E"/>
    <w:rsid w:val="008019A3"/>
    <w:rsid w:val="00801A0B"/>
    <w:rsid w:val="00802257"/>
    <w:rsid w:val="00811202"/>
    <w:rsid w:val="0081795F"/>
    <w:rsid w:val="0084755D"/>
    <w:rsid w:val="008621C5"/>
    <w:rsid w:val="00867970"/>
    <w:rsid w:val="008748C1"/>
    <w:rsid w:val="00874C50"/>
    <w:rsid w:val="0088340A"/>
    <w:rsid w:val="008855D8"/>
    <w:rsid w:val="00885961"/>
    <w:rsid w:val="00887786"/>
    <w:rsid w:val="0089061D"/>
    <w:rsid w:val="00890B8C"/>
    <w:rsid w:val="008A1762"/>
    <w:rsid w:val="008A30AE"/>
    <w:rsid w:val="008A5CC2"/>
    <w:rsid w:val="008A6B6A"/>
    <w:rsid w:val="008B5055"/>
    <w:rsid w:val="008D2AC1"/>
    <w:rsid w:val="008E60D3"/>
    <w:rsid w:val="00900EDD"/>
    <w:rsid w:val="00902926"/>
    <w:rsid w:val="009111F3"/>
    <w:rsid w:val="009159A9"/>
    <w:rsid w:val="0093642C"/>
    <w:rsid w:val="00941E41"/>
    <w:rsid w:val="009466F4"/>
    <w:rsid w:val="00951A5F"/>
    <w:rsid w:val="00954792"/>
    <w:rsid w:val="009676D2"/>
    <w:rsid w:val="0098309B"/>
    <w:rsid w:val="00986E1B"/>
    <w:rsid w:val="00990DA8"/>
    <w:rsid w:val="0099144F"/>
    <w:rsid w:val="009C0EF3"/>
    <w:rsid w:val="009C2181"/>
    <w:rsid w:val="009C2A62"/>
    <w:rsid w:val="009C5A10"/>
    <w:rsid w:val="009C7B11"/>
    <w:rsid w:val="009D16FA"/>
    <w:rsid w:val="009E073E"/>
    <w:rsid w:val="009F49A1"/>
    <w:rsid w:val="009F745C"/>
    <w:rsid w:val="00A10EB7"/>
    <w:rsid w:val="00A26680"/>
    <w:rsid w:val="00A30006"/>
    <w:rsid w:val="00A444B9"/>
    <w:rsid w:val="00A775DE"/>
    <w:rsid w:val="00A83B55"/>
    <w:rsid w:val="00A9211B"/>
    <w:rsid w:val="00A93D90"/>
    <w:rsid w:val="00AA5349"/>
    <w:rsid w:val="00AB0370"/>
    <w:rsid w:val="00AC2345"/>
    <w:rsid w:val="00AE20BC"/>
    <w:rsid w:val="00AE4255"/>
    <w:rsid w:val="00B02EC3"/>
    <w:rsid w:val="00B055B0"/>
    <w:rsid w:val="00B31124"/>
    <w:rsid w:val="00B31951"/>
    <w:rsid w:val="00B41ADC"/>
    <w:rsid w:val="00B41FA6"/>
    <w:rsid w:val="00B73DF1"/>
    <w:rsid w:val="00B757DD"/>
    <w:rsid w:val="00B75A84"/>
    <w:rsid w:val="00B777F0"/>
    <w:rsid w:val="00BA1074"/>
    <w:rsid w:val="00BA2CC1"/>
    <w:rsid w:val="00BA5D5C"/>
    <w:rsid w:val="00BA661A"/>
    <w:rsid w:val="00BB6B3F"/>
    <w:rsid w:val="00BC13B3"/>
    <w:rsid w:val="00BD4D79"/>
    <w:rsid w:val="00C141FE"/>
    <w:rsid w:val="00C33E94"/>
    <w:rsid w:val="00C63E01"/>
    <w:rsid w:val="00C662F1"/>
    <w:rsid w:val="00C73B67"/>
    <w:rsid w:val="00C824B5"/>
    <w:rsid w:val="00C87C54"/>
    <w:rsid w:val="00C87E82"/>
    <w:rsid w:val="00CA0D64"/>
    <w:rsid w:val="00CA30FF"/>
    <w:rsid w:val="00CC5F1C"/>
    <w:rsid w:val="00CD363A"/>
    <w:rsid w:val="00CE7F19"/>
    <w:rsid w:val="00CF0F47"/>
    <w:rsid w:val="00CF289A"/>
    <w:rsid w:val="00D10378"/>
    <w:rsid w:val="00D50B47"/>
    <w:rsid w:val="00D709CB"/>
    <w:rsid w:val="00D81E5E"/>
    <w:rsid w:val="00D84966"/>
    <w:rsid w:val="00D910CB"/>
    <w:rsid w:val="00D91802"/>
    <w:rsid w:val="00D93582"/>
    <w:rsid w:val="00DA3AE5"/>
    <w:rsid w:val="00DA5878"/>
    <w:rsid w:val="00DA6C65"/>
    <w:rsid w:val="00DB4A80"/>
    <w:rsid w:val="00DD26B1"/>
    <w:rsid w:val="00DD4CC9"/>
    <w:rsid w:val="00DE428D"/>
    <w:rsid w:val="00DE6088"/>
    <w:rsid w:val="00DF52A7"/>
    <w:rsid w:val="00DF5CCC"/>
    <w:rsid w:val="00E03AB8"/>
    <w:rsid w:val="00E2140F"/>
    <w:rsid w:val="00E24042"/>
    <w:rsid w:val="00E34863"/>
    <w:rsid w:val="00E36A9D"/>
    <w:rsid w:val="00E534E9"/>
    <w:rsid w:val="00E577EC"/>
    <w:rsid w:val="00E57DE2"/>
    <w:rsid w:val="00E61846"/>
    <w:rsid w:val="00E619BB"/>
    <w:rsid w:val="00E646D1"/>
    <w:rsid w:val="00E66BC1"/>
    <w:rsid w:val="00E72019"/>
    <w:rsid w:val="00E74304"/>
    <w:rsid w:val="00E7646A"/>
    <w:rsid w:val="00E76D2E"/>
    <w:rsid w:val="00E81282"/>
    <w:rsid w:val="00EA3E33"/>
    <w:rsid w:val="00EB533B"/>
    <w:rsid w:val="00EC1E59"/>
    <w:rsid w:val="00EC7317"/>
    <w:rsid w:val="00EE4879"/>
    <w:rsid w:val="00EE48FC"/>
    <w:rsid w:val="00F03514"/>
    <w:rsid w:val="00F20FA2"/>
    <w:rsid w:val="00F25380"/>
    <w:rsid w:val="00F41686"/>
    <w:rsid w:val="00F54C1B"/>
    <w:rsid w:val="00F57BF8"/>
    <w:rsid w:val="00F6229D"/>
    <w:rsid w:val="00F877BB"/>
    <w:rsid w:val="00FA2B29"/>
    <w:rsid w:val="00FA546A"/>
    <w:rsid w:val="00FA5630"/>
    <w:rsid w:val="00FA63C8"/>
    <w:rsid w:val="00FD1301"/>
    <w:rsid w:val="00FE49C3"/>
    <w:rsid w:val="00FE6878"/>
    <w:rsid w:val="00FF0C26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8C7ECD2"/>
  <w15:docId w15:val="{E4F38530-09F0-4D65-A096-91EC16D057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Overskrift2">
    <w:name w:val="heading 2"/>
    <w:basedOn w:val="Normal"/>
    <w:link w:val="Overskrift2Tegn"/>
    <w:uiPriority w:val="9"/>
    <w:qFormat/>
    <w:rsid w:val="003A467F"/>
    <w:pPr>
      <w:spacing w:before="100" w:beforeAutospacing="1" w:after="180" w:line="240" w:lineRule="auto"/>
      <w:outlineLvl w:val="1"/>
    </w:pPr>
    <w:rPr>
      <w:rFonts w:ascii="Arial" w:eastAsia="Times New Roman" w:hAnsi="Arial" w:cs="Arial"/>
      <w:b/>
      <w:bCs/>
      <w:sz w:val="48"/>
      <w:szCs w:val="48"/>
      <w:lang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Pladsholdertekst">
    <w:name w:val="Placeholder Text"/>
    <w:basedOn w:val="Standardskrifttypeiafsnit"/>
    <w:uiPriority w:val="99"/>
    <w:semiHidden/>
    <w:rsid w:val="004402D4"/>
    <w:rPr>
      <w:color w:val="80808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440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4402D4"/>
    <w:rPr>
      <w:rFonts w:ascii="Tahoma" w:hAnsi="Tahoma" w:cs="Tahoma"/>
      <w:sz w:val="16"/>
      <w:szCs w:val="16"/>
    </w:rPr>
  </w:style>
  <w:style w:type="paragraph" w:styleId="Sidehoved">
    <w:name w:val="header"/>
    <w:basedOn w:val="Normal"/>
    <w:link w:val="Sidehove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FA2B29"/>
  </w:style>
  <w:style w:type="paragraph" w:styleId="Sidefod">
    <w:name w:val="footer"/>
    <w:basedOn w:val="Normal"/>
    <w:link w:val="SidefodTegn"/>
    <w:uiPriority w:val="99"/>
    <w:unhideWhenUsed/>
    <w:rsid w:val="00FA2B29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FA2B29"/>
  </w:style>
  <w:style w:type="paragraph" w:customStyle="1" w:styleId="Lillev">
    <w:name w:val="Lille v"/>
    <w:basedOn w:val="Sidehoved"/>
    <w:link w:val="Lille1Tegn"/>
    <w:qFormat/>
    <w:rsid w:val="00FA2B29"/>
    <w:pPr>
      <w:tabs>
        <w:tab w:val="clear" w:pos="4819"/>
        <w:tab w:val="clear" w:pos="9638"/>
      </w:tabs>
      <w:spacing w:line="200" w:lineRule="atLeast"/>
      <w:ind w:right="3289"/>
      <w:jc w:val="both"/>
    </w:pPr>
    <w:rPr>
      <w:rFonts w:ascii="Arial" w:eastAsia="Times New Roman" w:hAnsi="Arial" w:cs="Times New Roman"/>
      <w:sz w:val="14"/>
      <w:szCs w:val="24"/>
    </w:rPr>
  </w:style>
  <w:style w:type="character" w:customStyle="1" w:styleId="Lille1Tegn">
    <w:name w:val="Lille 1 Tegn"/>
    <w:basedOn w:val="SidehovedTegn"/>
    <w:link w:val="Lillev"/>
    <w:rsid w:val="00FA2B29"/>
    <w:rPr>
      <w:rFonts w:ascii="Arial" w:eastAsia="Times New Roman" w:hAnsi="Arial" w:cs="Times New Roman"/>
      <w:sz w:val="14"/>
      <w:szCs w:val="24"/>
    </w:rPr>
  </w:style>
  <w:style w:type="table" w:styleId="Tabel-Gitter">
    <w:name w:val="Table Grid"/>
    <w:basedOn w:val="Tabel-Normal"/>
    <w:rsid w:val="00465A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lle">
    <w:name w:val="Lille"/>
    <w:basedOn w:val="Normal"/>
    <w:link w:val="LilleTegn"/>
    <w:rsid w:val="00465A30"/>
    <w:pPr>
      <w:spacing w:after="0" w:line="200" w:lineRule="atLeast"/>
      <w:jc w:val="right"/>
    </w:pPr>
    <w:rPr>
      <w:rFonts w:ascii="Arial" w:eastAsia="Times New Roman" w:hAnsi="Arial" w:cs="Times New Roman"/>
      <w:sz w:val="14"/>
      <w:szCs w:val="24"/>
    </w:rPr>
  </w:style>
  <w:style w:type="character" w:customStyle="1" w:styleId="LilleTegn">
    <w:name w:val="Lille Tegn"/>
    <w:link w:val="Lille"/>
    <w:rsid w:val="00465A30"/>
    <w:rPr>
      <w:rFonts w:ascii="Arial" w:eastAsia="Times New Roman" w:hAnsi="Arial" w:cs="Times New Roman"/>
      <w:sz w:val="14"/>
      <w:szCs w:val="24"/>
    </w:rPr>
  </w:style>
  <w:style w:type="character" w:styleId="Sidetal">
    <w:name w:val="page number"/>
    <w:rsid w:val="00EE48FC"/>
    <w:rPr>
      <w:rFonts w:ascii="Arial" w:hAnsi="Arial"/>
      <w:sz w:val="14"/>
    </w:rPr>
  </w:style>
  <w:style w:type="character" w:styleId="Fremhv">
    <w:name w:val="Emphasis"/>
    <w:basedOn w:val="Standardskrifttypeiafsnit"/>
    <w:uiPriority w:val="20"/>
    <w:qFormat/>
    <w:rsid w:val="003A467F"/>
    <w:rPr>
      <w:i/>
      <w:iCs/>
    </w:rPr>
  </w:style>
  <w:style w:type="character" w:customStyle="1" w:styleId="Overskrift2Tegn">
    <w:name w:val="Overskrift 2 Tegn"/>
    <w:basedOn w:val="Standardskrifttypeiafsnit"/>
    <w:link w:val="Overskrift2"/>
    <w:uiPriority w:val="9"/>
    <w:rsid w:val="003A467F"/>
    <w:rPr>
      <w:rFonts w:ascii="Arial" w:eastAsia="Times New Roman" w:hAnsi="Arial" w:cs="Arial"/>
      <w:b/>
      <w:bCs/>
      <w:sz w:val="48"/>
      <w:szCs w:val="48"/>
      <w:lang w:eastAsia="da-DK"/>
    </w:rPr>
  </w:style>
  <w:style w:type="character" w:styleId="Kraftigfremhvning">
    <w:name w:val="Intense Emphasis"/>
    <w:basedOn w:val="Standardskrifttypeiafsnit"/>
    <w:uiPriority w:val="21"/>
    <w:qFormat/>
    <w:rsid w:val="006D62DC"/>
    <w:rPr>
      <w:b/>
      <w:bCs/>
      <w:i/>
      <w:iCs/>
      <w:color w:val="4F81BD" w:themeColor="accent1"/>
    </w:rPr>
  </w:style>
  <w:style w:type="character" w:styleId="Strk">
    <w:name w:val="Strong"/>
    <w:basedOn w:val="Standardskrifttypeiafsnit"/>
    <w:uiPriority w:val="22"/>
    <w:qFormat/>
    <w:rsid w:val="0034347E"/>
    <w:rPr>
      <w:b/>
      <w:bCs/>
    </w:rPr>
  </w:style>
  <w:style w:type="paragraph" w:customStyle="1" w:styleId="Default">
    <w:name w:val="Default"/>
    <w:rsid w:val="0088778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yperlink">
    <w:name w:val="Hyperlink"/>
    <w:basedOn w:val="Standardskrifttypeiafsnit"/>
    <w:uiPriority w:val="99"/>
    <w:unhideWhenUsed/>
    <w:rsid w:val="00887786"/>
    <w:rPr>
      <w:color w:val="0000FF" w:themeColor="hyperlink"/>
      <w:u w:val="single"/>
    </w:rPr>
  </w:style>
  <w:style w:type="table" w:styleId="Lysskygge">
    <w:name w:val="Light Shading"/>
    <w:basedOn w:val="Tabel-Normal"/>
    <w:uiPriority w:val="60"/>
    <w:rsid w:val="00887786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paragraph" w:styleId="Listeafsnit">
    <w:name w:val="List Paragraph"/>
    <w:basedOn w:val="Normal"/>
    <w:uiPriority w:val="34"/>
    <w:qFormat/>
    <w:rsid w:val="00887786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semiHidden/>
    <w:unhideWhenUsed/>
    <w:rsid w:val="00887786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semiHidden/>
    <w:rsid w:val="00887786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887786"/>
    <w:rPr>
      <w:vertAlign w:val="superscript"/>
    </w:rPr>
  </w:style>
  <w:style w:type="table" w:customStyle="1" w:styleId="Listetabel6-farverig1">
    <w:name w:val="Listetabel 6 - farverig1"/>
    <w:basedOn w:val="Tabel-Normal"/>
    <w:uiPriority w:val="51"/>
    <w:rsid w:val="00887786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styleId="Kommentarhenvisning">
    <w:name w:val="annotation reference"/>
    <w:basedOn w:val="Standardskrifttypeiafsnit"/>
    <w:uiPriority w:val="99"/>
    <w:semiHidden/>
    <w:unhideWhenUsed/>
    <w:rsid w:val="00DD4CC9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DD4CC9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DD4CC9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DD4CC9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DD4CC9"/>
    <w:rPr>
      <w:b/>
      <w:bCs/>
      <w:sz w:val="20"/>
      <w:szCs w:val="20"/>
    </w:rPr>
  </w:style>
  <w:style w:type="table" w:customStyle="1" w:styleId="Tabel-Gitter1">
    <w:name w:val="Tabel - Gitter1"/>
    <w:basedOn w:val="Tabel-Normal"/>
    <w:next w:val="Tabel-Gitter"/>
    <w:uiPriority w:val="59"/>
    <w:rsid w:val="009C5A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30029723">
      <w:bodyDiv w:val="1"/>
      <w:marLeft w:val="0"/>
      <w:marRight w:val="0"/>
      <w:marTop w:val="0"/>
      <w:marBottom w:val="36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081756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hyperlink" Target="mailto:apn@nanoq.gl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uje\AppData\Local\cBrain\F2\.tmp\8e6d18b0dcb14dc88da05d43088e1d3d.dotx" TargetMode="External"/></Relationships>
</file>

<file path=word/theme/theme1.xml><?xml version="1.0" encoding="utf-8"?>
<a:theme xmlns:a="http://schemas.openxmlformats.org/drawingml/2006/main" name="Kontortema">
  <a:themeElements>
    <a:clrScheme name="Kont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ont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Root xmlns="Captia">
  <record>
    <Content id="record_key">
      <Value> </Value>
    </Content>
    <Content id="letter_date">
      <Value>2021-09-06T00:00:00</Value>
    </Content>
    <officer>
      <Content id="name1">
        <Value>Johan A. Jakobsen</Value>
      </Content>
    </officer>
  </record>
  <case>
    <Content id="file_no">
      <Value/>
    </Content>
    <officer/>
  </case>
  <address/>
</Root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AF9E09-FE40-4910-9EAE-F6423A2F14D0}">
  <ds:schemaRefs>
    <ds:schemaRef ds:uri="Captia"/>
  </ds:schemaRefs>
</ds:datastoreItem>
</file>

<file path=customXml/itemProps2.xml><?xml version="1.0" encoding="utf-8"?>
<ds:datastoreItem xmlns:ds="http://schemas.openxmlformats.org/officeDocument/2006/customXml" ds:itemID="{C090BDC1-FA68-48D1-A6AB-EF15AA7A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8e6d18b0dcb14dc88da05d43088e1d3d</Template>
  <TotalTime>891</TotalTime>
  <Pages>5</Pages>
  <Words>1292</Words>
  <Characters>7884</Characters>
  <Application>Microsoft Office Word</Application>
  <DocSecurity>0</DocSecurity>
  <Lines>65</Lines>
  <Paragraphs>18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Kalaallit Nunaanni Namminersorlutik Oqartussat</Company>
  <LinksUpToDate>false</LinksUpToDate>
  <CharactersWithSpaces>9158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Augusta Jerimiassen</dc:creator>
  <cp:lastModifiedBy>Katrine Kærgaard</cp:lastModifiedBy>
  <cp:revision>178</cp:revision>
  <cp:lastPrinted>2015-07-23T11:53:00Z</cp:lastPrinted>
  <dcterms:created xsi:type="dcterms:W3CDTF">2021-09-06T12:01:00Z</dcterms:created>
  <dcterms:modified xsi:type="dcterms:W3CDTF">2021-10-29T18:29:00Z</dcterms:modified>
</cp:coreProperties>
</file>