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3AE20" w14:textId="72F07E2C" w:rsidR="00B90514" w:rsidRPr="00E53B7E" w:rsidRDefault="00070175" w:rsidP="00BC05B4">
      <w:pPr>
        <w:pStyle w:val="Lille"/>
        <w:framePr w:w="1883" w:h="2821" w:hRule="exact" w:hSpace="181" w:wrap="notBeside" w:vAnchor="page" w:hAnchor="page" w:x="9410" w:y="4843" w:anchorLock="1"/>
      </w:pPr>
      <w:r>
        <w:rPr>
          <w:szCs w:val="20"/>
        </w:rPr>
        <w:t>07</w:t>
      </w:r>
      <w:r w:rsidR="00B90514" w:rsidRPr="00E53B7E">
        <w:rPr>
          <w:szCs w:val="20"/>
        </w:rPr>
        <w:t>-1</w:t>
      </w:r>
      <w:r w:rsidR="00250E50">
        <w:rPr>
          <w:szCs w:val="20"/>
        </w:rPr>
        <w:t>1</w:t>
      </w:r>
      <w:r w:rsidR="00B90514" w:rsidRPr="00E53B7E">
        <w:rPr>
          <w:szCs w:val="20"/>
        </w:rPr>
        <w:t>-2020</w:t>
      </w:r>
    </w:p>
    <w:p w14:paraId="1C5BE61B" w14:textId="3B503939" w:rsidR="00B90514" w:rsidRPr="00E53B7E" w:rsidRDefault="00B90514" w:rsidP="00BC05B4">
      <w:pPr>
        <w:pStyle w:val="Lille"/>
        <w:framePr w:w="1883" w:h="2821" w:hRule="exact" w:hSpace="181" w:wrap="notBeside" w:vAnchor="page" w:hAnchor="page" w:x="9410" w:y="4843" w:anchorLock="1"/>
      </w:pPr>
      <w:r w:rsidRPr="00E53B7E">
        <w:t>Sags nr.</w:t>
      </w:r>
      <w:r w:rsidR="009C02CA" w:rsidRPr="00E53B7E">
        <w:t>:</w:t>
      </w:r>
      <w:r w:rsidR="00070175">
        <w:t>2020-19598</w:t>
      </w:r>
      <w:r w:rsidRPr="00E53B7E">
        <w:t xml:space="preserve">   </w:t>
      </w:r>
    </w:p>
    <w:p w14:paraId="0C97638B" w14:textId="5FAAD761" w:rsidR="00465A30" w:rsidRPr="00E53B7E" w:rsidRDefault="009C02CA" w:rsidP="00BC05B4">
      <w:pPr>
        <w:pStyle w:val="Lille"/>
        <w:framePr w:w="1883" w:h="2821" w:hRule="exact" w:hSpace="181" w:wrap="notBeside" w:vAnchor="page" w:hAnchor="page" w:x="9410" w:y="4843" w:anchorLock="1"/>
      </w:pPr>
      <w:r w:rsidRPr="00E53B7E">
        <w:t>Akt</w:t>
      </w:r>
      <w:r w:rsidR="00B90514" w:rsidRPr="00E53B7E">
        <w:t xml:space="preserve"> nr.</w:t>
      </w:r>
      <w:r w:rsidRPr="00E53B7E">
        <w:t>:</w:t>
      </w:r>
      <w:r w:rsidR="00B90514" w:rsidRPr="00E53B7E">
        <w:t xml:space="preserve"> </w:t>
      </w:r>
      <w:r w:rsidR="00465A30" w:rsidRPr="00E53B7E">
        <w:t xml:space="preserve"> </w:t>
      </w:r>
    </w:p>
    <w:p w14:paraId="26D274C9" w14:textId="77777777" w:rsidR="00465A30" w:rsidRPr="00E53B7E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72D6F9B7" w14:textId="77777777" w:rsidR="00943261" w:rsidRPr="00E53B7E" w:rsidRDefault="007E01D0" w:rsidP="00BC05B4">
      <w:pPr>
        <w:pStyle w:val="Lille"/>
        <w:framePr w:w="1883" w:h="2821" w:hRule="exact" w:hSpace="181" w:wrap="notBeside" w:vAnchor="page" w:hAnchor="page" w:x="9410" w:y="4843" w:anchorLock="1"/>
      </w:pPr>
      <w:r w:rsidRPr="00E53B7E">
        <w:t>Postboks</w:t>
      </w:r>
      <w:r w:rsidR="00465A30" w:rsidRPr="00E53B7E">
        <w:t xml:space="preserve"> </w:t>
      </w:r>
      <w:r w:rsidR="00943261" w:rsidRPr="00E53B7E">
        <w:t>269</w:t>
      </w:r>
    </w:p>
    <w:p w14:paraId="3C36D240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3900 Nuuk</w:t>
      </w:r>
    </w:p>
    <w:p w14:paraId="1E2CA2F7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proofErr w:type="spellStart"/>
      <w:r w:rsidRPr="00B90514">
        <w:rPr>
          <w:lang w:val="en-US"/>
        </w:rPr>
        <w:t>Tlf</w:t>
      </w:r>
      <w:proofErr w:type="spellEnd"/>
      <w:r w:rsidRPr="00B90514">
        <w:rPr>
          <w:lang w:val="en-US"/>
        </w:rPr>
        <w:t>. (+299) 34 50 00</w:t>
      </w:r>
    </w:p>
    <w:p w14:paraId="31749CAC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Fax (+299) 34 63 55</w:t>
      </w:r>
    </w:p>
    <w:p w14:paraId="61AB3C23" w14:textId="77777777" w:rsidR="00465A30" w:rsidRPr="00710C16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apn</w:t>
      </w:r>
      <w:proofErr w:type="spellEnd"/>
      <w:r w:rsidR="00465A30" w:rsidRPr="00710C16">
        <w:rPr>
          <w:lang w:val="en-US"/>
        </w:rPr>
        <w:t>@</w:t>
      </w:r>
      <w:r w:rsidR="00465A30" w:rsidRPr="007D3B61">
        <w:rPr>
          <w:lang w:val="en-US"/>
        </w:rPr>
        <w:t>nanoq</w:t>
      </w:r>
      <w:r w:rsidR="00465A30" w:rsidRPr="00710C16">
        <w:rPr>
          <w:lang w:val="en-US"/>
        </w:rPr>
        <w:t>.gl</w:t>
      </w:r>
    </w:p>
    <w:p w14:paraId="012EF9C3" w14:textId="77777777" w:rsidR="00465A30" w:rsidRPr="00B15EF5" w:rsidRDefault="00EA4BEF" w:rsidP="00BC05B4">
      <w:pPr>
        <w:pStyle w:val="Lille"/>
        <w:framePr w:w="1883" w:h="2821" w:hRule="exact" w:hSpace="181" w:wrap="notBeside" w:vAnchor="page" w:hAnchor="page" w:x="9410" w:y="4843" w:anchorLock="1"/>
      </w:pPr>
      <w:r w:rsidRPr="00B15EF5">
        <w:t>www.naalakkersuisut</w:t>
      </w:r>
      <w:r w:rsidR="00465A30" w:rsidRPr="00B15EF5">
        <w:t>.gl</w:t>
      </w:r>
    </w:p>
    <w:p w14:paraId="023068AA" w14:textId="77777777" w:rsidR="00465A30" w:rsidRPr="00B15EF5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162BE56E" w14:textId="77777777" w:rsidR="00465A30" w:rsidRPr="00B15EF5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73D94332" w14:textId="77777777" w:rsidR="004E0FFE" w:rsidRDefault="004E0FFE" w:rsidP="004E0F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Fiskerirådet og tilforordnede</w:t>
      </w:r>
    </w:p>
    <w:p w14:paraId="70F3D0E8" w14:textId="77777777" w:rsidR="004E0FFE" w:rsidRDefault="004E0FFE" w:rsidP="004E0F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01D66E" w14:textId="77777777" w:rsidR="007A4AEB" w:rsidRDefault="007A4AEB" w:rsidP="004E0F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AAD1D" w14:textId="0FE2FFCF" w:rsidR="00116AA4" w:rsidRDefault="004E0FFE" w:rsidP="000701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Høringsbrev vedr. </w:t>
      </w:r>
      <w:r w:rsidR="00070175">
        <w:rPr>
          <w:rFonts w:ascii="Times New Roman" w:hAnsi="Times New Roman" w:cs="Times New Roman"/>
          <w:b/>
          <w:sz w:val="24"/>
          <w:szCs w:val="24"/>
        </w:rPr>
        <w:t>kvoteforhøjelse for krabber</w:t>
      </w:r>
      <w:r w:rsidR="0007667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070175">
        <w:rPr>
          <w:rFonts w:ascii="Times New Roman" w:hAnsi="Times New Roman" w:cs="Times New Roman"/>
          <w:b/>
          <w:sz w:val="24"/>
          <w:szCs w:val="24"/>
        </w:rPr>
        <w:t xml:space="preserve"> Sisimiut og </w:t>
      </w:r>
      <w:proofErr w:type="spellStart"/>
      <w:r w:rsidR="00070175">
        <w:rPr>
          <w:rFonts w:ascii="Times New Roman" w:hAnsi="Times New Roman" w:cs="Times New Roman"/>
          <w:b/>
          <w:sz w:val="24"/>
          <w:szCs w:val="24"/>
        </w:rPr>
        <w:t>Diskobugt</w:t>
      </w:r>
      <w:proofErr w:type="spellEnd"/>
      <w:r w:rsidR="00070175">
        <w:rPr>
          <w:rFonts w:ascii="Times New Roman" w:hAnsi="Times New Roman" w:cs="Times New Roman"/>
          <w:b/>
          <w:sz w:val="24"/>
          <w:szCs w:val="24"/>
        </w:rPr>
        <w:t>-Uummannaq</w:t>
      </w:r>
      <w:r w:rsidR="00412C67">
        <w:rPr>
          <w:rFonts w:ascii="Times New Roman" w:hAnsi="Times New Roman" w:cs="Times New Roman"/>
          <w:b/>
          <w:sz w:val="24"/>
          <w:szCs w:val="24"/>
        </w:rPr>
        <w:t xml:space="preserve"> og Nuuk-</w:t>
      </w:r>
      <w:r w:rsidR="003569D6">
        <w:rPr>
          <w:rFonts w:ascii="Times New Roman" w:hAnsi="Times New Roman" w:cs="Times New Roman"/>
          <w:b/>
          <w:sz w:val="24"/>
          <w:szCs w:val="24"/>
        </w:rPr>
        <w:t xml:space="preserve">Paamiut </w:t>
      </w:r>
    </w:p>
    <w:p w14:paraId="24F1E7E9" w14:textId="6F5AA837" w:rsidR="00070175" w:rsidRDefault="00070175" w:rsidP="000701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42644" w14:textId="3569357A" w:rsidR="00070175" w:rsidRDefault="00070175" w:rsidP="00070175">
      <w:pPr>
        <w:spacing w:after="0"/>
        <w:jc w:val="both"/>
        <w:rPr>
          <w:rFonts w:cstheme="minorHAnsi"/>
        </w:rPr>
      </w:pPr>
      <w:r w:rsidRPr="00965F56">
        <w:rPr>
          <w:rFonts w:cstheme="minorHAnsi"/>
        </w:rPr>
        <w:t>I henhold til Fiskerilovens §23, stk. 4 udbedes høringssvar fra Fiskerirådet på en sag af hastende karakter vedrørende forhøjelse af kvoten</w:t>
      </w:r>
      <w:r>
        <w:rPr>
          <w:rFonts w:cstheme="minorHAnsi"/>
        </w:rPr>
        <w:t xml:space="preserve"> for krabber i </w:t>
      </w:r>
      <w:r w:rsidR="0007667C">
        <w:rPr>
          <w:rFonts w:cstheme="minorHAnsi"/>
        </w:rPr>
        <w:t xml:space="preserve">forvaltningsområderne </w:t>
      </w:r>
      <w:r>
        <w:rPr>
          <w:rFonts w:cstheme="minorHAnsi"/>
        </w:rPr>
        <w:t xml:space="preserve">Sisimiut Kystnært og </w:t>
      </w:r>
      <w:proofErr w:type="spellStart"/>
      <w:r>
        <w:rPr>
          <w:rFonts w:cstheme="minorHAnsi"/>
        </w:rPr>
        <w:t>Diskobugt</w:t>
      </w:r>
      <w:proofErr w:type="spellEnd"/>
      <w:r>
        <w:rPr>
          <w:rFonts w:cstheme="minorHAnsi"/>
        </w:rPr>
        <w:t>-Uummannaq.</w:t>
      </w:r>
    </w:p>
    <w:p w14:paraId="1F289A60" w14:textId="73B71948" w:rsidR="00070175" w:rsidRDefault="00070175" w:rsidP="00070175">
      <w:pPr>
        <w:spacing w:after="0"/>
        <w:jc w:val="both"/>
        <w:rPr>
          <w:rFonts w:cstheme="minorHAnsi"/>
        </w:rPr>
      </w:pPr>
    </w:p>
    <w:p w14:paraId="5251D924" w14:textId="5EBA98B8" w:rsidR="00070175" w:rsidRDefault="00070175" w:rsidP="0007017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Departementet har modtaget ansøgninger om forhøjelse af kvote for krabber i de </w:t>
      </w:r>
      <w:r w:rsidR="003569D6">
        <w:rPr>
          <w:rFonts w:cstheme="minorHAnsi"/>
        </w:rPr>
        <w:t>3</w:t>
      </w:r>
      <w:r>
        <w:rPr>
          <w:rFonts w:cstheme="minorHAnsi"/>
        </w:rPr>
        <w:t xml:space="preserve"> forvaltningsområder Sisimiut kystnært</w:t>
      </w:r>
      <w:r w:rsidR="003569D6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Diskobugt</w:t>
      </w:r>
      <w:proofErr w:type="spellEnd"/>
      <w:r>
        <w:rPr>
          <w:rFonts w:cstheme="minorHAnsi"/>
        </w:rPr>
        <w:t>-Uummannaq</w:t>
      </w:r>
      <w:r w:rsidR="003569D6">
        <w:rPr>
          <w:rFonts w:cstheme="minorHAnsi"/>
        </w:rPr>
        <w:t xml:space="preserve"> og Nuuk-Paamiut</w:t>
      </w:r>
      <w:r>
        <w:rPr>
          <w:rFonts w:cstheme="minorHAnsi"/>
        </w:rPr>
        <w:t xml:space="preserve"> på henholdsvis 150 tons</w:t>
      </w:r>
      <w:r w:rsidR="003569D6">
        <w:rPr>
          <w:rFonts w:cstheme="minorHAnsi"/>
        </w:rPr>
        <w:t xml:space="preserve">, </w:t>
      </w:r>
      <w:r>
        <w:rPr>
          <w:rFonts w:cstheme="minorHAnsi"/>
        </w:rPr>
        <w:t>100 tons</w:t>
      </w:r>
      <w:r w:rsidR="003569D6">
        <w:rPr>
          <w:rFonts w:cstheme="minorHAnsi"/>
        </w:rPr>
        <w:t xml:space="preserve"> o</w:t>
      </w:r>
      <w:r w:rsidR="00412C67">
        <w:rPr>
          <w:rFonts w:cstheme="minorHAnsi"/>
        </w:rPr>
        <w:t>g 200</w:t>
      </w:r>
      <w:r w:rsidR="003569D6">
        <w:rPr>
          <w:rFonts w:cstheme="minorHAnsi"/>
        </w:rPr>
        <w:t xml:space="preserve"> tons.</w:t>
      </w:r>
      <w:r w:rsidR="00A4760D">
        <w:rPr>
          <w:rFonts w:cstheme="minorHAnsi"/>
        </w:rPr>
        <w:t xml:space="preserve"> </w:t>
      </w:r>
    </w:p>
    <w:p w14:paraId="24703843" w14:textId="002B3597" w:rsidR="000368AE" w:rsidRDefault="000368AE" w:rsidP="00070175">
      <w:pPr>
        <w:spacing w:after="0"/>
        <w:jc w:val="both"/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52"/>
        <w:gridCol w:w="1896"/>
        <w:gridCol w:w="1935"/>
        <w:gridCol w:w="1931"/>
      </w:tblGrid>
      <w:tr w:rsidR="000368AE" w14:paraId="13EB0136" w14:textId="77777777" w:rsidTr="000368AE">
        <w:tc>
          <w:tcPr>
            <w:tcW w:w="1953" w:type="dxa"/>
            <w:shd w:val="clear" w:color="auto" w:fill="C6D9F1" w:themeFill="text2" w:themeFillTint="33"/>
          </w:tcPr>
          <w:p w14:paraId="61AFE87F" w14:textId="20081416" w:rsidR="000368AE" w:rsidRPr="000368AE" w:rsidRDefault="000368AE" w:rsidP="00070175">
            <w:pPr>
              <w:jc w:val="both"/>
              <w:rPr>
                <w:rFonts w:cstheme="minorHAnsi"/>
                <w:b/>
                <w:bCs/>
              </w:rPr>
            </w:pPr>
            <w:r w:rsidRPr="000368AE">
              <w:rPr>
                <w:rFonts w:cstheme="minorHAnsi"/>
                <w:b/>
                <w:bCs/>
              </w:rPr>
              <w:t>Forvaltningsområde</w:t>
            </w:r>
          </w:p>
        </w:tc>
        <w:tc>
          <w:tcPr>
            <w:tcW w:w="1953" w:type="dxa"/>
            <w:shd w:val="clear" w:color="auto" w:fill="C6D9F1" w:themeFill="text2" w:themeFillTint="33"/>
          </w:tcPr>
          <w:p w14:paraId="34774301" w14:textId="367B29DF" w:rsidR="000368AE" w:rsidRPr="000368AE" w:rsidRDefault="000368AE" w:rsidP="00070175">
            <w:pPr>
              <w:jc w:val="both"/>
              <w:rPr>
                <w:rFonts w:cstheme="minorHAnsi"/>
                <w:b/>
                <w:bCs/>
              </w:rPr>
            </w:pPr>
            <w:r w:rsidRPr="000368AE">
              <w:rPr>
                <w:rFonts w:cstheme="minorHAnsi"/>
                <w:b/>
                <w:bCs/>
              </w:rPr>
              <w:t>Rådgivning</w:t>
            </w:r>
            <w:r w:rsidR="00A4760D">
              <w:rPr>
                <w:rFonts w:cstheme="minorHAnsi"/>
                <w:b/>
                <w:bCs/>
              </w:rPr>
              <w:t xml:space="preserve"> 2021</w:t>
            </w:r>
          </w:p>
        </w:tc>
        <w:tc>
          <w:tcPr>
            <w:tcW w:w="1954" w:type="dxa"/>
            <w:shd w:val="clear" w:color="auto" w:fill="C6D9F1" w:themeFill="text2" w:themeFillTint="33"/>
          </w:tcPr>
          <w:p w14:paraId="5E52424C" w14:textId="7356E1FB" w:rsidR="000368AE" w:rsidRPr="000368AE" w:rsidRDefault="000368AE" w:rsidP="000368AE">
            <w:pPr>
              <w:rPr>
                <w:rFonts w:cstheme="minorHAnsi"/>
                <w:b/>
                <w:bCs/>
              </w:rPr>
            </w:pPr>
            <w:r w:rsidRPr="000368AE">
              <w:rPr>
                <w:rFonts w:cstheme="minorHAnsi"/>
                <w:b/>
                <w:bCs/>
              </w:rPr>
              <w:t xml:space="preserve">Kvote </w:t>
            </w:r>
            <w:r w:rsidR="00A4760D">
              <w:rPr>
                <w:rFonts w:cstheme="minorHAnsi"/>
                <w:b/>
                <w:bCs/>
              </w:rPr>
              <w:t xml:space="preserve">2021 </w:t>
            </w:r>
            <w:r w:rsidRPr="000368AE">
              <w:rPr>
                <w:rFonts w:cstheme="minorHAnsi"/>
                <w:b/>
                <w:bCs/>
              </w:rPr>
              <w:t>jf. forvaltningsplan</w:t>
            </w:r>
          </w:p>
        </w:tc>
        <w:tc>
          <w:tcPr>
            <w:tcW w:w="1954" w:type="dxa"/>
            <w:shd w:val="clear" w:color="auto" w:fill="C6D9F1" w:themeFill="text2" w:themeFillTint="33"/>
          </w:tcPr>
          <w:p w14:paraId="14C63BA6" w14:textId="68833F0B" w:rsidR="000368AE" w:rsidRPr="000368AE" w:rsidRDefault="000368AE" w:rsidP="000368AE">
            <w:pPr>
              <w:rPr>
                <w:rFonts w:cstheme="minorHAnsi"/>
                <w:b/>
                <w:bCs/>
              </w:rPr>
            </w:pPr>
            <w:r w:rsidRPr="000368AE">
              <w:rPr>
                <w:rFonts w:cstheme="minorHAnsi"/>
                <w:b/>
                <w:bCs/>
              </w:rPr>
              <w:t>Kvote</w:t>
            </w:r>
            <w:r w:rsidR="00A4760D">
              <w:rPr>
                <w:rFonts w:cstheme="minorHAnsi"/>
                <w:b/>
                <w:bCs/>
              </w:rPr>
              <w:t xml:space="preserve"> 2021</w:t>
            </w:r>
            <w:r w:rsidRPr="000368AE">
              <w:rPr>
                <w:rFonts w:cstheme="minorHAnsi"/>
                <w:b/>
                <w:bCs/>
              </w:rPr>
              <w:t xml:space="preserve"> efter kvoteforhøjelse</w:t>
            </w:r>
          </w:p>
        </w:tc>
      </w:tr>
      <w:tr w:rsidR="000368AE" w14:paraId="1F84EB21" w14:textId="77777777" w:rsidTr="000368AE">
        <w:tc>
          <w:tcPr>
            <w:tcW w:w="1953" w:type="dxa"/>
          </w:tcPr>
          <w:p w14:paraId="399A270B" w14:textId="09F77056" w:rsidR="000368AE" w:rsidRDefault="000368AE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Sisimiut kystnært</w:t>
            </w:r>
          </w:p>
        </w:tc>
        <w:tc>
          <w:tcPr>
            <w:tcW w:w="1953" w:type="dxa"/>
          </w:tcPr>
          <w:p w14:paraId="69D8B433" w14:textId="7900B036" w:rsidR="000368AE" w:rsidRDefault="00A4760D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483 t</w:t>
            </w:r>
          </w:p>
        </w:tc>
        <w:tc>
          <w:tcPr>
            <w:tcW w:w="1954" w:type="dxa"/>
          </w:tcPr>
          <w:p w14:paraId="3985F540" w14:textId="259EEEB9" w:rsidR="000368AE" w:rsidRDefault="00A4760D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483 t</w:t>
            </w:r>
          </w:p>
        </w:tc>
        <w:tc>
          <w:tcPr>
            <w:tcW w:w="1954" w:type="dxa"/>
          </w:tcPr>
          <w:p w14:paraId="631E613A" w14:textId="44C1C45F" w:rsidR="000368AE" w:rsidRDefault="00A4760D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633 t</w:t>
            </w:r>
          </w:p>
        </w:tc>
      </w:tr>
      <w:tr w:rsidR="000368AE" w14:paraId="0334F9D1" w14:textId="77777777" w:rsidTr="000368AE">
        <w:tc>
          <w:tcPr>
            <w:tcW w:w="1953" w:type="dxa"/>
          </w:tcPr>
          <w:p w14:paraId="493D0A88" w14:textId="3D05BECD" w:rsidR="000368AE" w:rsidRDefault="000368AE" w:rsidP="00070175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Diskobugt</w:t>
            </w:r>
            <w:proofErr w:type="spellEnd"/>
            <w:r>
              <w:rPr>
                <w:rFonts w:cstheme="minorHAnsi"/>
              </w:rPr>
              <w:t>-Uummannaq</w:t>
            </w:r>
          </w:p>
        </w:tc>
        <w:tc>
          <w:tcPr>
            <w:tcW w:w="1953" w:type="dxa"/>
          </w:tcPr>
          <w:p w14:paraId="45C9F06D" w14:textId="486323A4" w:rsidR="000368AE" w:rsidRDefault="00A4760D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576 t</w:t>
            </w:r>
          </w:p>
        </w:tc>
        <w:tc>
          <w:tcPr>
            <w:tcW w:w="1954" w:type="dxa"/>
          </w:tcPr>
          <w:p w14:paraId="6F196A73" w14:textId="289E2397" w:rsidR="000368AE" w:rsidRDefault="00A4760D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576 t</w:t>
            </w:r>
          </w:p>
        </w:tc>
        <w:tc>
          <w:tcPr>
            <w:tcW w:w="1954" w:type="dxa"/>
          </w:tcPr>
          <w:p w14:paraId="3D15AA59" w14:textId="34148A6D" w:rsidR="000368AE" w:rsidRDefault="00A4760D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676 t</w:t>
            </w:r>
          </w:p>
        </w:tc>
      </w:tr>
      <w:tr w:rsidR="008C4930" w14:paraId="69794714" w14:textId="77777777" w:rsidTr="000368AE">
        <w:tc>
          <w:tcPr>
            <w:tcW w:w="1953" w:type="dxa"/>
          </w:tcPr>
          <w:p w14:paraId="0F7EA3B1" w14:textId="5F1D32C8" w:rsidR="008C4930" w:rsidRDefault="008C4930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Nuuk / Paamiut /hav</w:t>
            </w:r>
          </w:p>
        </w:tc>
        <w:tc>
          <w:tcPr>
            <w:tcW w:w="1953" w:type="dxa"/>
          </w:tcPr>
          <w:p w14:paraId="085A70A1" w14:textId="11DFD595" w:rsidR="008C4930" w:rsidRDefault="008C4930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214</w:t>
            </w:r>
          </w:p>
        </w:tc>
        <w:tc>
          <w:tcPr>
            <w:tcW w:w="1954" w:type="dxa"/>
          </w:tcPr>
          <w:p w14:paraId="109F943A" w14:textId="12CD5FE1" w:rsidR="008C4930" w:rsidRDefault="008C4930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214</w:t>
            </w:r>
          </w:p>
        </w:tc>
        <w:tc>
          <w:tcPr>
            <w:tcW w:w="1954" w:type="dxa"/>
          </w:tcPr>
          <w:p w14:paraId="55063056" w14:textId="4D50D945" w:rsidR="008C4930" w:rsidRDefault="00412C67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314</w:t>
            </w:r>
            <w:r w:rsidR="003569D6">
              <w:rPr>
                <w:rFonts w:cstheme="minorHAnsi"/>
              </w:rPr>
              <w:t xml:space="preserve"> t</w:t>
            </w:r>
          </w:p>
        </w:tc>
      </w:tr>
      <w:tr w:rsidR="008C4930" w14:paraId="668E30FC" w14:textId="77777777" w:rsidTr="000368AE">
        <w:tc>
          <w:tcPr>
            <w:tcW w:w="1953" w:type="dxa"/>
          </w:tcPr>
          <w:p w14:paraId="6F1B0F6A" w14:textId="77A65C2E" w:rsidR="008C4930" w:rsidRDefault="008C4930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Nuuk / Paamiut/kyst</w:t>
            </w:r>
          </w:p>
        </w:tc>
        <w:tc>
          <w:tcPr>
            <w:tcW w:w="1953" w:type="dxa"/>
          </w:tcPr>
          <w:p w14:paraId="7C2B3A0F" w14:textId="484C8730" w:rsidR="008C4930" w:rsidRDefault="008C4930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806</w:t>
            </w:r>
          </w:p>
        </w:tc>
        <w:tc>
          <w:tcPr>
            <w:tcW w:w="1954" w:type="dxa"/>
          </w:tcPr>
          <w:p w14:paraId="215F48AA" w14:textId="45CB0C05" w:rsidR="008C4930" w:rsidRDefault="008C4930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806</w:t>
            </w:r>
          </w:p>
        </w:tc>
        <w:tc>
          <w:tcPr>
            <w:tcW w:w="1954" w:type="dxa"/>
          </w:tcPr>
          <w:p w14:paraId="5F7354EF" w14:textId="19775B74" w:rsidR="008C4930" w:rsidRDefault="00412C67" w:rsidP="0007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906</w:t>
            </w:r>
            <w:r w:rsidR="003569D6">
              <w:rPr>
                <w:rFonts w:cstheme="minorHAnsi"/>
              </w:rPr>
              <w:t xml:space="preserve"> t</w:t>
            </w:r>
          </w:p>
        </w:tc>
      </w:tr>
    </w:tbl>
    <w:p w14:paraId="33BC3B12" w14:textId="5732E7BF" w:rsidR="00070175" w:rsidRDefault="00070175" w:rsidP="00070175">
      <w:pPr>
        <w:spacing w:after="0"/>
        <w:jc w:val="both"/>
        <w:rPr>
          <w:rFonts w:cstheme="minorHAnsi"/>
        </w:rPr>
      </w:pPr>
    </w:p>
    <w:p w14:paraId="56F16BCB" w14:textId="5165481C" w:rsidR="00070175" w:rsidRDefault="00070175" w:rsidP="0007017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Det skal understreges at en forhøjelse af kvoten for krabber vil være imod den gældende forvaltningsplan og vil dermed modarbejde det arbejde som er lavet ift. Forvaltning </w:t>
      </w:r>
      <w:r w:rsidR="0007667C">
        <w:rPr>
          <w:rFonts w:cstheme="minorHAnsi"/>
        </w:rPr>
        <w:t xml:space="preserve">for </w:t>
      </w:r>
      <w:r>
        <w:rPr>
          <w:rFonts w:cstheme="minorHAnsi"/>
        </w:rPr>
        <w:t>krabber. På baggrund af de modtagne ansøgninger om kvoteforhøjelse vil Departementet derfor forhøre</w:t>
      </w:r>
      <w:r w:rsidR="0007667C">
        <w:rPr>
          <w:rFonts w:cstheme="minorHAnsi"/>
        </w:rPr>
        <w:t>r</w:t>
      </w:r>
      <w:r>
        <w:rPr>
          <w:rFonts w:cstheme="minorHAnsi"/>
        </w:rPr>
        <w:t xml:space="preserve"> sig om der fortsat er støtte </w:t>
      </w:r>
      <w:r w:rsidR="000368AE">
        <w:rPr>
          <w:rFonts w:cstheme="minorHAnsi"/>
        </w:rPr>
        <w:t>til</w:t>
      </w:r>
      <w:r>
        <w:rPr>
          <w:rFonts w:cstheme="minorHAnsi"/>
        </w:rPr>
        <w:t xml:space="preserve"> det igangværende arbejde med en forvaltningsplan for krabber.</w:t>
      </w:r>
    </w:p>
    <w:p w14:paraId="17B4993D" w14:textId="06676E5D" w:rsidR="0007667C" w:rsidRDefault="0007667C" w:rsidP="00070175">
      <w:pPr>
        <w:spacing w:after="0"/>
        <w:jc w:val="both"/>
        <w:rPr>
          <w:rFonts w:cstheme="minorHAnsi"/>
        </w:rPr>
      </w:pPr>
    </w:p>
    <w:p w14:paraId="490197E9" w14:textId="3461C13F" w:rsidR="0007667C" w:rsidRDefault="0007667C" w:rsidP="0007017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Høringssvar udbedes senest </w:t>
      </w:r>
      <w:r w:rsidR="00BC346E">
        <w:rPr>
          <w:rFonts w:cstheme="minorHAnsi"/>
          <w:b/>
          <w:bCs/>
        </w:rPr>
        <w:t>torsdag d. 11</w:t>
      </w:r>
      <w:bookmarkStart w:id="0" w:name="_GoBack"/>
      <w:bookmarkEnd w:id="0"/>
      <w:r w:rsidRPr="0007667C">
        <w:rPr>
          <w:rFonts w:cstheme="minorHAnsi"/>
          <w:b/>
          <w:bCs/>
        </w:rPr>
        <w:t>. november 2021</w:t>
      </w:r>
      <w:r>
        <w:rPr>
          <w:rFonts w:cstheme="minorHAnsi"/>
        </w:rPr>
        <w:t xml:space="preserve"> på dansk og grønlandsk. Høringssvaret fremsendes til Departementet for Fiskeri og Fangst på </w:t>
      </w:r>
      <w:hyperlink r:id="rId9" w:history="1">
        <w:r w:rsidRPr="000D4160">
          <w:rPr>
            <w:rStyle w:val="Hyperlink"/>
            <w:rFonts w:cstheme="minorHAnsi"/>
          </w:rPr>
          <w:t>apn@nanoq.gl</w:t>
        </w:r>
      </w:hyperlink>
      <w:r>
        <w:rPr>
          <w:rFonts w:cstheme="minorHAnsi"/>
        </w:rPr>
        <w:t xml:space="preserve"> </w:t>
      </w:r>
    </w:p>
    <w:p w14:paraId="4B0B615A" w14:textId="77777777" w:rsidR="0007667C" w:rsidRPr="00070175" w:rsidRDefault="0007667C" w:rsidP="000701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7667C" w:rsidRPr="00070175" w:rsidSect="004402D4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0D0E6" w14:textId="77777777" w:rsidR="00641701" w:rsidRDefault="00641701" w:rsidP="00FA2B29">
      <w:pPr>
        <w:spacing w:after="0" w:line="240" w:lineRule="auto"/>
      </w:pPr>
      <w:r>
        <w:separator/>
      </w:r>
    </w:p>
  </w:endnote>
  <w:endnote w:type="continuationSeparator" w:id="0">
    <w:p w14:paraId="32DF6070" w14:textId="77777777" w:rsidR="00641701" w:rsidRDefault="00641701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14:paraId="44E52994" w14:textId="1BFCB78F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5A8">
          <w:rPr>
            <w:noProof/>
          </w:rPr>
          <w:t>2</w:t>
        </w:r>
        <w:r>
          <w:fldChar w:fldCharType="end"/>
        </w:r>
      </w:p>
    </w:sdtContent>
  </w:sdt>
  <w:p w14:paraId="2678ED6E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201982"/>
      <w:docPartObj>
        <w:docPartGallery w:val="Page Numbers (Bottom of Page)"/>
        <w:docPartUnique/>
      </w:docPartObj>
    </w:sdtPr>
    <w:sdtEndPr/>
    <w:sdtContent>
      <w:p w14:paraId="0998AD0F" w14:textId="3F7BE0C8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BC346E">
          <w:rPr>
            <w:noProof/>
          </w:rPr>
          <w:t>1</w:t>
        </w:r>
        <w:r>
          <w:fldChar w:fldCharType="end"/>
        </w:r>
      </w:p>
    </w:sdtContent>
  </w:sdt>
  <w:p w14:paraId="4133DA16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565E0" w14:textId="77777777" w:rsidR="00641701" w:rsidRDefault="00641701" w:rsidP="00FA2B29">
      <w:pPr>
        <w:spacing w:after="0" w:line="240" w:lineRule="auto"/>
      </w:pPr>
      <w:r>
        <w:separator/>
      </w:r>
    </w:p>
  </w:footnote>
  <w:footnote w:type="continuationSeparator" w:id="0">
    <w:p w14:paraId="6767314E" w14:textId="77777777" w:rsidR="00641701" w:rsidRDefault="00641701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04E5F" w14:textId="77777777" w:rsidR="005A226D" w:rsidRDefault="00641701" w:rsidP="00FA2B29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332F95B4" wp14:editId="438EE6BE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7B6B64DB" w14:textId="77777777" w:rsidR="005A226D" w:rsidRPr="00AB566E" w:rsidRDefault="005A226D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36E462" wp14:editId="40E469E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C352C" w:rsidRPr="003F14E0">
      <w:t>Aalisarnermut</w:t>
    </w:r>
    <w:proofErr w:type="spellEnd"/>
    <w:r w:rsidR="001B135D">
      <w:t>,</w:t>
    </w:r>
    <w:r w:rsidR="004C352C" w:rsidRPr="003F14E0">
      <w:t xml:space="preserve"> </w:t>
    </w:r>
    <w:proofErr w:type="spellStart"/>
    <w:r w:rsidR="004C352C" w:rsidRPr="003F14E0">
      <w:t>Piniarnermu</w:t>
    </w:r>
    <w:r w:rsidR="001B135D">
      <w:t>t</w:t>
    </w:r>
    <w:proofErr w:type="spellEnd"/>
    <w:r w:rsidR="001B135D">
      <w:t xml:space="preserve"> </w:t>
    </w:r>
    <w:proofErr w:type="spellStart"/>
    <w:r w:rsidR="001B135D">
      <w:t>Nunalerinermullu</w:t>
    </w:r>
    <w:proofErr w:type="spellEnd"/>
    <w:r w:rsidR="004C352C" w:rsidRPr="003F14E0">
      <w:t xml:space="preserve"> </w:t>
    </w:r>
    <w:proofErr w:type="spellStart"/>
    <w:r w:rsidR="004C352C" w:rsidRPr="003F14E0">
      <w:t>Naalakkersuisoqarfik</w:t>
    </w:r>
    <w:proofErr w:type="spellEnd"/>
  </w:p>
  <w:p w14:paraId="6209174C" w14:textId="77777777" w:rsidR="005A226D" w:rsidRPr="00E25CDA" w:rsidRDefault="007E01D0" w:rsidP="00FA2B29">
    <w:pPr>
      <w:pStyle w:val="Lillev"/>
    </w:pPr>
    <w:r>
      <w:t>Departementet</w:t>
    </w:r>
    <w:r w:rsidR="004C352C">
      <w:t xml:space="preserve"> for Fiskeri</w:t>
    </w:r>
    <w:r w:rsidR="001B135D">
      <w:t xml:space="preserve">, </w:t>
    </w:r>
    <w:r w:rsidR="004C352C">
      <w:t xml:space="preserve">Fangst </w:t>
    </w:r>
    <w:r w:rsidR="001B135D">
      <w:t>og Landbrug</w:t>
    </w:r>
  </w:p>
  <w:p w14:paraId="11CFB4A0" w14:textId="77777777" w:rsidR="005A226D" w:rsidRDefault="005A22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0058"/>
    <w:multiLevelType w:val="hybridMultilevel"/>
    <w:tmpl w:val="969EA740"/>
    <w:lvl w:ilvl="0" w:tplc="D1B6BED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62"/>
    <w:rsid w:val="000050D5"/>
    <w:rsid w:val="00012762"/>
    <w:rsid w:val="00025E1A"/>
    <w:rsid w:val="00027D8E"/>
    <w:rsid w:val="000368AE"/>
    <w:rsid w:val="00040CA4"/>
    <w:rsid w:val="00043F24"/>
    <w:rsid w:val="00070175"/>
    <w:rsid w:val="00070E62"/>
    <w:rsid w:val="00073959"/>
    <w:rsid w:val="0007667C"/>
    <w:rsid w:val="00092595"/>
    <w:rsid w:val="00116AA4"/>
    <w:rsid w:val="001B135D"/>
    <w:rsid w:val="001F3B9C"/>
    <w:rsid w:val="001F4665"/>
    <w:rsid w:val="00220CC9"/>
    <w:rsid w:val="00244056"/>
    <w:rsid w:val="002467BD"/>
    <w:rsid w:val="00250E50"/>
    <w:rsid w:val="00255E05"/>
    <w:rsid w:val="00265E2E"/>
    <w:rsid w:val="002A0A76"/>
    <w:rsid w:val="002D0A02"/>
    <w:rsid w:val="002D6A49"/>
    <w:rsid w:val="002E55C8"/>
    <w:rsid w:val="00330AC3"/>
    <w:rsid w:val="003512FB"/>
    <w:rsid w:val="0035162A"/>
    <w:rsid w:val="003569D6"/>
    <w:rsid w:val="00400FE0"/>
    <w:rsid w:val="00412C67"/>
    <w:rsid w:val="004402D4"/>
    <w:rsid w:val="00465A30"/>
    <w:rsid w:val="004819F4"/>
    <w:rsid w:val="004C352C"/>
    <w:rsid w:val="004E0FFE"/>
    <w:rsid w:val="004E3795"/>
    <w:rsid w:val="005062CF"/>
    <w:rsid w:val="00513DB6"/>
    <w:rsid w:val="005146AD"/>
    <w:rsid w:val="00514D46"/>
    <w:rsid w:val="0051603D"/>
    <w:rsid w:val="00582554"/>
    <w:rsid w:val="005A226D"/>
    <w:rsid w:val="005C5767"/>
    <w:rsid w:val="005F323C"/>
    <w:rsid w:val="00641701"/>
    <w:rsid w:val="006A4BB2"/>
    <w:rsid w:val="007163A4"/>
    <w:rsid w:val="00764F4D"/>
    <w:rsid w:val="0077332C"/>
    <w:rsid w:val="007A4AEB"/>
    <w:rsid w:val="007D3B61"/>
    <w:rsid w:val="007E01D0"/>
    <w:rsid w:val="007E06BA"/>
    <w:rsid w:val="007F3259"/>
    <w:rsid w:val="008175A8"/>
    <w:rsid w:val="00860D86"/>
    <w:rsid w:val="008646DE"/>
    <w:rsid w:val="00874C50"/>
    <w:rsid w:val="008B5055"/>
    <w:rsid w:val="008C4930"/>
    <w:rsid w:val="0090328F"/>
    <w:rsid w:val="009246E4"/>
    <w:rsid w:val="00943261"/>
    <w:rsid w:val="00986E1B"/>
    <w:rsid w:val="009A4E91"/>
    <w:rsid w:val="009B2636"/>
    <w:rsid w:val="009C02CA"/>
    <w:rsid w:val="00A02C24"/>
    <w:rsid w:val="00A4760D"/>
    <w:rsid w:val="00A6005C"/>
    <w:rsid w:val="00A83411"/>
    <w:rsid w:val="00AC5738"/>
    <w:rsid w:val="00AD6333"/>
    <w:rsid w:val="00AF54DD"/>
    <w:rsid w:val="00B15EF5"/>
    <w:rsid w:val="00B40EFD"/>
    <w:rsid w:val="00B5308B"/>
    <w:rsid w:val="00B75A84"/>
    <w:rsid w:val="00B8227D"/>
    <w:rsid w:val="00B90514"/>
    <w:rsid w:val="00BA657D"/>
    <w:rsid w:val="00BC05B4"/>
    <w:rsid w:val="00BC346E"/>
    <w:rsid w:val="00C07F30"/>
    <w:rsid w:val="00C30FB6"/>
    <w:rsid w:val="00C63E01"/>
    <w:rsid w:val="00CA2B81"/>
    <w:rsid w:val="00CC56B4"/>
    <w:rsid w:val="00D2076C"/>
    <w:rsid w:val="00DB76A0"/>
    <w:rsid w:val="00DD09CF"/>
    <w:rsid w:val="00E53B7E"/>
    <w:rsid w:val="00E6297C"/>
    <w:rsid w:val="00E91956"/>
    <w:rsid w:val="00E9349C"/>
    <w:rsid w:val="00EA4BEF"/>
    <w:rsid w:val="00EE48FC"/>
    <w:rsid w:val="00EF33D1"/>
    <w:rsid w:val="00F6467F"/>
    <w:rsid w:val="00F8196B"/>
    <w:rsid w:val="00F92267"/>
    <w:rsid w:val="00FA2B29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33335"/>
  <w15:docId w15:val="{8567329D-4974-4035-8CAB-A3F69E5A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character" w:styleId="Hyperlink">
    <w:name w:val="Hyperlink"/>
    <w:basedOn w:val="Standardskrifttypeiafsnit"/>
    <w:uiPriority w:val="99"/>
    <w:unhideWhenUsed/>
    <w:rsid w:val="00B15EF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3B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3B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3B7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3B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3B7E"/>
    <w:rPr>
      <w:b/>
      <w:bCs/>
      <w:sz w:val="20"/>
      <w:szCs w:val="20"/>
    </w:rPr>
  </w:style>
  <w:style w:type="table" w:styleId="Lysskygge">
    <w:name w:val="Light Shading"/>
    <w:basedOn w:val="Tabel-Normal"/>
    <w:uiPriority w:val="60"/>
    <w:rsid w:val="00025E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2A0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D0A02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E06B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06B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06BA"/>
    <w:rPr>
      <w:vertAlign w:val="superscript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76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@nanoq.g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4702283de4a34b0aa854b5c5805c8489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8913-F597-4911-99A9-1CEDE0E9A92D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C1496802-D9CB-4C7C-BD7F-E1AF7852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4702283de4a34b0aa854b5c5805c8489</Template>
  <TotalTime>37</TotalTime>
  <Pages>1</Pages>
  <Words>215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Katrine Kærgaard</cp:lastModifiedBy>
  <cp:revision>8</cp:revision>
  <dcterms:created xsi:type="dcterms:W3CDTF">2021-11-07T15:51:00Z</dcterms:created>
  <dcterms:modified xsi:type="dcterms:W3CDTF">2021-11-08T18:45:00Z</dcterms:modified>
</cp:coreProperties>
</file>