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779D3E" w14:textId="77777777" w:rsidR="00D525A0" w:rsidRPr="00FA75C3" w:rsidRDefault="00D525A0" w:rsidP="00D525A0">
      <w:pPr>
        <w:jc w:val="center"/>
        <w:rPr>
          <w:b/>
          <w:lang w:val="en-GB"/>
        </w:rPr>
      </w:pPr>
    </w:p>
    <w:p w14:paraId="72D83F6B" w14:textId="77777777" w:rsidR="00D525A0" w:rsidRPr="00FA75C3" w:rsidRDefault="00D525A0" w:rsidP="00D525A0">
      <w:pPr>
        <w:jc w:val="center"/>
        <w:rPr>
          <w:b/>
          <w:lang w:val="en-GB"/>
        </w:rPr>
      </w:pPr>
    </w:p>
    <w:p w14:paraId="6D05F24A" w14:textId="77777777" w:rsidR="00D525A0" w:rsidRPr="00FA75C3" w:rsidRDefault="00D525A0" w:rsidP="00D525A0">
      <w:pPr>
        <w:jc w:val="center"/>
        <w:rPr>
          <w:b/>
          <w:lang w:val="en-GB"/>
        </w:rPr>
      </w:pPr>
    </w:p>
    <w:p w14:paraId="182CFBFE" w14:textId="77777777" w:rsidR="00D525A0" w:rsidRPr="00FA75C3" w:rsidRDefault="00D525A0" w:rsidP="00D525A0">
      <w:pPr>
        <w:jc w:val="center"/>
        <w:rPr>
          <w:b/>
          <w:lang w:val="en-GB"/>
        </w:rPr>
      </w:pPr>
      <w:r w:rsidRPr="00FA75C3">
        <w:rPr>
          <w:b/>
          <w:lang w:val="en-GB"/>
        </w:rPr>
        <w:t>Article 22 of the Constitution of the ILO</w:t>
      </w:r>
    </w:p>
    <w:p w14:paraId="10CC0389" w14:textId="77777777" w:rsidR="00D525A0" w:rsidRPr="00FA75C3" w:rsidRDefault="00D525A0" w:rsidP="00D525A0">
      <w:pPr>
        <w:jc w:val="center"/>
        <w:rPr>
          <w:b/>
          <w:lang w:val="en-GB"/>
        </w:rPr>
      </w:pPr>
    </w:p>
    <w:p w14:paraId="7DB06473" w14:textId="77777777" w:rsidR="00D525A0" w:rsidRPr="00FA75C3" w:rsidRDefault="00D525A0" w:rsidP="00D525A0">
      <w:pPr>
        <w:jc w:val="center"/>
        <w:rPr>
          <w:b/>
          <w:lang w:val="en-GB"/>
        </w:rPr>
      </w:pPr>
      <w:r w:rsidRPr="00FA75C3">
        <w:rPr>
          <w:b/>
          <w:lang w:val="en-GB"/>
        </w:rPr>
        <w:t>Report for the period ending 30</w:t>
      </w:r>
      <w:r w:rsidRPr="00FA75C3">
        <w:rPr>
          <w:b/>
          <w:vertAlign w:val="superscript"/>
          <w:lang w:val="en-GB"/>
        </w:rPr>
        <w:t>th</w:t>
      </w:r>
      <w:r w:rsidRPr="00FA75C3">
        <w:rPr>
          <w:b/>
          <w:lang w:val="en-GB"/>
        </w:rPr>
        <w:t xml:space="preserve"> </w:t>
      </w:r>
      <w:r>
        <w:rPr>
          <w:b/>
          <w:lang w:val="en-GB"/>
        </w:rPr>
        <w:t>April</w:t>
      </w:r>
      <w:r w:rsidRPr="00FA75C3">
        <w:rPr>
          <w:b/>
          <w:lang w:val="en-GB"/>
        </w:rPr>
        <w:t xml:space="preserve"> 20</w:t>
      </w:r>
      <w:r>
        <w:rPr>
          <w:b/>
          <w:lang w:val="en-GB"/>
        </w:rPr>
        <w:t>21</w:t>
      </w:r>
      <w:r w:rsidRPr="00FA75C3">
        <w:rPr>
          <w:b/>
          <w:lang w:val="en-GB"/>
        </w:rPr>
        <w:t xml:space="preserve">, </w:t>
      </w:r>
    </w:p>
    <w:p w14:paraId="730A8D21" w14:textId="77777777" w:rsidR="00D525A0" w:rsidRPr="00FA75C3" w:rsidRDefault="00D525A0" w:rsidP="00D525A0">
      <w:pPr>
        <w:jc w:val="center"/>
        <w:rPr>
          <w:b/>
          <w:lang w:val="en-GB"/>
        </w:rPr>
      </w:pPr>
      <w:r w:rsidRPr="00FA75C3">
        <w:rPr>
          <w:b/>
          <w:lang w:val="en-GB"/>
        </w:rPr>
        <w:t>made by the Government of Greenland, on the</w:t>
      </w:r>
    </w:p>
    <w:p w14:paraId="0112B4A9" w14:textId="605870EF" w:rsidR="00D525A0" w:rsidRPr="006A184D" w:rsidRDefault="00CE15EA" w:rsidP="00D525A0">
      <w:pPr>
        <w:spacing w:after="0"/>
        <w:jc w:val="center"/>
        <w:rPr>
          <w:b/>
          <w:lang w:val="en-GB"/>
        </w:rPr>
      </w:pPr>
      <w:r w:rsidRPr="00CE15EA">
        <w:rPr>
          <w:b/>
          <w:lang w:val="en-GB"/>
        </w:rPr>
        <w:t xml:space="preserve">Employment Policy Convention, 1964 </w:t>
      </w:r>
      <w:r w:rsidR="00D525A0" w:rsidRPr="006A184D">
        <w:rPr>
          <w:b/>
          <w:lang w:val="en-GB"/>
        </w:rPr>
        <w:t>(No. 1</w:t>
      </w:r>
      <w:r>
        <w:rPr>
          <w:b/>
          <w:lang w:val="en-GB"/>
        </w:rPr>
        <w:t>22</w:t>
      </w:r>
      <w:r w:rsidR="00D525A0" w:rsidRPr="006A184D">
        <w:rPr>
          <w:b/>
          <w:lang w:val="en-GB"/>
        </w:rPr>
        <w:t>)</w:t>
      </w:r>
    </w:p>
    <w:p w14:paraId="36B485A2" w14:textId="1B1DC698" w:rsidR="00D525A0" w:rsidRPr="00FA75C3" w:rsidRDefault="00D525A0" w:rsidP="00D525A0">
      <w:pPr>
        <w:jc w:val="center"/>
        <w:rPr>
          <w:rFonts w:asciiTheme="minorHAnsi" w:hAnsiTheme="minorHAnsi" w:cstheme="minorHAnsi"/>
          <w:lang w:val="en-GB"/>
        </w:rPr>
      </w:pPr>
      <w:r w:rsidRPr="00FA75C3">
        <w:rPr>
          <w:rFonts w:asciiTheme="minorHAnsi" w:hAnsiTheme="minorHAnsi" w:cstheme="minorHAnsi"/>
          <w:lang w:val="en-GB"/>
        </w:rPr>
        <w:t xml:space="preserve">Ratification registered </w:t>
      </w:r>
      <w:r w:rsidRPr="00D525A0">
        <w:rPr>
          <w:rFonts w:asciiTheme="minorHAnsi" w:hAnsiTheme="minorHAnsi" w:cstheme="minorHAnsi"/>
          <w:lang w:val="en-GB"/>
        </w:rPr>
        <w:t>19</w:t>
      </w:r>
      <w:r w:rsidR="00CE15EA">
        <w:rPr>
          <w:rFonts w:asciiTheme="minorHAnsi" w:hAnsiTheme="minorHAnsi" w:cstheme="minorHAnsi"/>
          <w:lang w:val="en-GB"/>
        </w:rPr>
        <w:t>72</w:t>
      </w:r>
    </w:p>
    <w:p w14:paraId="4677798F" w14:textId="77777777" w:rsidR="00D525A0" w:rsidRPr="00FA75C3" w:rsidRDefault="00D525A0" w:rsidP="00D525A0">
      <w:pPr>
        <w:tabs>
          <w:tab w:val="left" w:pos="1701"/>
        </w:tabs>
        <w:spacing w:line="240" w:lineRule="auto"/>
        <w:jc w:val="both"/>
        <w:rPr>
          <w:rFonts w:cs="Calibri"/>
          <w:lang w:val="en-GB"/>
        </w:rPr>
      </w:pPr>
    </w:p>
    <w:p w14:paraId="707F3764" w14:textId="77777777" w:rsidR="00D525A0" w:rsidRPr="00FA75C3" w:rsidRDefault="00D525A0" w:rsidP="00D525A0">
      <w:pPr>
        <w:jc w:val="both"/>
        <w:rPr>
          <w:rFonts w:cs="Calibri"/>
          <w:lang w:val="en-GB"/>
        </w:rPr>
      </w:pPr>
    </w:p>
    <w:p w14:paraId="5B7CEC5D" w14:textId="77777777" w:rsidR="00D525A0" w:rsidRPr="00D63F00" w:rsidRDefault="00D525A0" w:rsidP="00D525A0">
      <w:pPr>
        <w:jc w:val="both"/>
        <w:rPr>
          <w:rFonts w:asciiTheme="minorHAnsi" w:hAnsiTheme="minorHAnsi" w:cstheme="minorHAnsi"/>
          <w:lang w:val="en-GB"/>
        </w:rPr>
      </w:pPr>
      <w:r w:rsidRPr="00FA75C3">
        <w:rPr>
          <w:rFonts w:cs="Calibri"/>
          <w:color w:val="222222"/>
          <w:lang w:val="en-GB"/>
        </w:rPr>
        <w:t>For the period ending 30</w:t>
      </w:r>
      <w:r w:rsidRPr="00FA75C3">
        <w:rPr>
          <w:rFonts w:cs="Calibri"/>
          <w:color w:val="222222"/>
          <w:vertAlign w:val="superscript"/>
          <w:lang w:val="en-GB"/>
        </w:rPr>
        <w:t>th</w:t>
      </w:r>
      <w:r w:rsidRPr="00FA75C3">
        <w:rPr>
          <w:rFonts w:cs="Calibri"/>
          <w:color w:val="222222"/>
          <w:lang w:val="en-GB"/>
        </w:rPr>
        <w:t xml:space="preserve"> April 20</w:t>
      </w:r>
      <w:r>
        <w:rPr>
          <w:rFonts w:cs="Calibri"/>
          <w:color w:val="222222"/>
          <w:lang w:val="en-GB"/>
        </w:rPr>
        <w:t>201</w:t>
      </w:r>
      <w:r w:rsidRPr="00FA75C3">
        <w:rPr>
          <w:rFonts w:cs="Calibri"/>
          <w:color w:val="222222"/>
          <w:lang w:val="en-GB"/>
        </w:rPr>
        <w:t xml:space="preserve"> made by the Government of Greenland</w:t>
      </w:r>
      <w:r w:rsidRPr="00FA75C3" w:rsidDel="004D3B3B">
        <w:rPr>
          <w:rFonts w:cs="Calibri"/>
          <w:color w:val="222222"/>
          <w:lang w:val="en-GB"/>
        </w:rPr>
        <w:t xml:space="preserve"> </w:t>
      </w:r>
      <w:r w:rsidRPr="00FA75C3">
        <w:rPr>
          <w:rFonts w:cs="Calibri"/>
          <w:color w:val="222222"/>
          <w:lang w:val="en-GB"/>
        </w:rPr>
        <w:t xml:space="preserve">(Government of Denmark), in </w:t>
      </w:r>
      <w:r w:rsidRPr="00D63F00">
        <w:rPr>
          <w:rFonts w:asciiTheme="minorHAnsi" w:hAnsiTheme="minorHAnsi" w:cstheme="minorHAnsi"/>
          <w:color w:val="222222"/>
          <w:lang w:val="en-GB"/>
        </w:rPr>
        <w:t>accordance with article 22 of the Constitution of the International Labour Organization, on the measures taken to give effect to the provisions of the</w:t>
      </w:r>
    </w:p>
    <w:p w14:paraId="5732CD61" w14:textId="08EA729F" w:rsidR="00CE15EA" w:rsidRPr="006A184D" w:rsidRDefault="00CE15EA" w:rsidP="00CE15EA">
      <w:pPr>
        <w:spacing w:after="0"/>
        <w:jc w:val="center"/>
        <w:rPr>
          <w:b/>
          <w:lang w:val="en-GB"/>
        </w:rPr>
      </w:pPr>
      <w:r w:rsidRPr="00CE15EA">
        <w:rPr>
          <w:b/>
          <w:lang w:val="en-GB"/>
        </w:rPr>
        <w:t>Employment Policy Convention, 19</w:t>
      </w:r>
      <w:r>
        <w:rPr>
          <w:b/>
          <w:lang w:val="en-GB"/>
        </w:rPr>
        <w:t>72</w:t>
      </w:r>
      <w:r w:rsidRPr="00CE15EA">
        <w:rPr>
          <w:b/>
          <w:lang w:val="en-GB"/>
        </w:rPr>
        <w:t xml:space="preserve"> </w:t>
      </w:r>
      <w:r w:rsidRPr="006A184D">
        <w:rPr>
          <w:b/>
          <w:lang w:val="en-GB"/>
        </w:rPr>
        <w:t>(No. 1</w:t>
      </w:r>
      <w:r>
        <w:rPr>
          <w:b/>
          <w:lang w:val="en-GB"/>
        </w:rPr>
        <w:t>22</w:t>
      </w:r>
      <w:r w:rsidRPr="006A184D">
        <w:rPr>
          <w:b/>
          <w:lang w:val="en-GB"/>
        </w:rPr>
        <w:t>)</w:t>
      </w:r>
    </w:p>
    <w:p w14:paraId="173A76D4" w14:textId="253BFFA0" w:rsidR="00D525A0" w:rsidRDefault="00D525A0" w:rsidP="00D525A0">
      <w:pPr>
        <w:jc w:val="center"/>
        <w:rPr>
          <w:rFonts w:asciiTheme="minorHAnsi" w:hAnsiTheme="minorHAnsi" w:cstheme="minorHAnsi"/>
          <w:b/>
          <w:caps/>
          <w:lang w:val="en-GB" w:eastAsia="da-DK"/>
        </w:rPr>
      </w:pPr>
    </w:p>
    <w:p w14:paraId="6214EEE3" w14:textId="77777777" w:rsidR="000220E3" w:rsidRPr="0090746F" w:rsidRDefault="000220E3" w:rsidP="000220E3">
      <w:pPr>
        <w:pStyle w:val="Kommentartekst"/>
        <w:rPr>
          <w:sz w:val="32"/>
          <w:szCs w:val="32"/>
          <w:lang w:val="en-US"/>
        </w:rPr>
      </w:pPr>
      <w:bookmarkStart w:id="0" w:name="_Hlk76641042"/>
      <w:r w:rsidRPr="0090746F">
        <w:rPr>
          <w:sz w:val="32"/>
          <w:szCs w:val="32"/>
          <w:lang w:val="en-US"/>
        </w:rPr>
        <w:t>Direct Request 1</w:t>
      </w:r>
    </w:p>
    <w:p w14:paraId="581D52E1" w14:textId="77777777" w:rsidR="000220E3" w:rsidRPr="006C5952" w:rsidRDefault="000220E3" w:rsidP="000220E3">
      <w:pPr>
        <w:pStyle w:val="Kommentartekst"/>
        <w:rPr>
          <w:sz w:val="22"/>
          <w:szCs w:val="22"/>
          <w:lang w:val="en-US"/>
        </w:rPr>
      </w:pPr>
      <w:r w:rsidRPr="006C5952">
        <w:rPr>
          <w:sz w:val="22"/>
          <w:szCs w:val="22"/>
          <w:lang w:val="en-US"/>
        </w:rPr>
        <w:t xml:space="preserve">The aim of the Government of Greenland (The Government of Greenland is referred to the coalition that existed before 6. of April 2021) is to shape a future society which priorities education, research, and innovation. This applies to educational choices to research as well as practical innovation in the local workplaces etc. The Government of Greenland will continue to research in the core areas of fisheries and hunting, but there is a need for more </w:t>
      </w:r>
      <w:proofErr w:type="spellStart"/>
      <w:r w:rsidRPr="006C5952">
        <w:rPr>
          <w:sz w:val="22"/>
          <w:szCs w:val="22"/>
          <w:lang w:val="en-US"/>
        </w:rPr>
        <w:t>acedemic</w:t>
      </w:r>
      <w:proofErr w:type="spellEnd"/>
      <w:r w:rsidRPr="006C5952">
        <w:rPr>
          <w:sz w:val="22"/>
          <w:szCs w:val="22"/>
          <w:lang w:val="en-US"/>
        </w:rPr>
        <w:t xml:space="preserve"> research and greater knowledge in the fields of culture and social </w:t>
      </w:r>
      <w:proofErr w:type="spellStart"/>
      <w:r w:rsidRPr="006C5952">
        <w:rPr>
          <w:sz w:val="22"/>
          <w:szCs w:val="22"/>
          <w:lang w:val="en-US"/>
        </w:rPr>
        <w:t>realtions</w:t>
      </w:r>
      <w:proofErr w:type="spellEnd"/>
      <w:r w:rsidRPr="006C5952">
        <w:rPr>
          <w:sz w:val="22"/>
          <w:szCs w:val="22"/>
          <w:lang w:val="en-US"/>
        </w:rPr>
        <w:t xml:space="preserve">. </w:t>
      </w:r>
    </w:p>
    <w:p w14:paraId="78016876" w14:textId="77777777" w:rsidR="000220E3" w:rsidRPr="006C5952" w:rsidRDefault="000220E3" w:rsidP="000220E3">
      <w:pPr>
        <w:rPr>
          <w:lang w:val="en-US"/>
        </w:rPr>
      </w:pPr>
      <w:r w:rsidRPr="006C5952">
        <w:rPr>
          <w:lang w:val="en-US"/>
        </w:rPr>
        <w:t xml:space="preserve">In recent years, Greenland has been in a paradox in the labor market as there is a large group of citizens who are outside the labor market, while companies experience that they cannot recruit skilled labor. </w:t>
      </w:r>
      <w:proofErr w:type="gramStart"/>
      <w:r w:rsidRPr="006C5952">
        <w:rPr>
          <w:lang w:val="en-US"/>
        </w:rPr>
        <w:t>The majority of</w:t>
      </w:r>
      <w:proofErr w:type="gramEnd"/>
      <w:r w:rsidRPr="006C5952">
        <w:rPr>
          <w:lang w:val="en-US"/>
        </w:rPr>
        <w:t xml:space="preserve"> the citizens who are unemployed are the younger part of the population. There are many young people between the ages of 16 and 25 in 2018 who neither are in an education </w:t>
      </w:r>
      <w:proofErr w:type="gramStart"/>
      <w:r w:rsidRPr="006C5952">
        <w:rPr>
          <w:lang w:val="en-US"/>
        </w:rPr>
        <w:t>or</w:t>
      </w:r>
      <w:proofErr w:type="gramEnd"/>
      <w:r w:rsidRPr="006C5952">
        <w:rPr>
          <w:lang w:val="en-US"/>
        </w:rPr>
        <w:t xml:space="preserve"> were in employment. This is a problem for several reasons. In the longer term there is a need for younger generations to be able to take over the labor market when older people retire. In recent years, the Greenlandic government, has initiated some initiatives aimed at improving young people's opportunities to enter the labor market. These initiatives will be presented in the following. </w:t>
      </w:r>
    </w:p>
    <w:p w14:paraId="5D411426" w14:textId="77777777" w:rsidR="000220E3" w:rsidRDefault="000220E3" w:rsidP="000220E3">
      <w:pPr>
        <w:rPr>
          <w:b/>
          <w:bCs/>
          <w:lang w:val="en-US"/>
        </w:rPr>
      </w:pPr>
    </w:p>
    <w:p w14:paraId="65A50D78" w14:textId="77777777" w:rsidR="000220E3" w:rsidRDefault="000220E3" w:rsidP="000220E3">
      <w:pPr>
        <w:rPr>
          <w:b/>
          <w:bCs/>
          <w:lang w:val="en-US"/>
        </w:rPr>
      </w:pPr>
    </w:p>
    <w:p w14:paraId="69117831" w14:textId="24AEEC1E" w:rsidR="000220E3" w:rsidRPr="006C5952" w:rsidRDefault="000220E3" w:rsidP="000220E3">
      <w:pPr>
        <w:rPr>
          <w:b/>
          <w:bCs/>
          <w:lang w:val="en-US"/>
        </w:rPr>
      </w:pPr>
      <w:proofErr w:type="spellStart"/>
      <w:r w:rsidRPr="006C5952">
        <w:rPr>
          <w:b/>
          <w:bCs/>
          <w:lang w:val="en-US"/>
        </w:rPr>
        <w:lastRenderedPageBreak/>
        <w:t>Majoriaq</w:t>
      </w:r>
      <w:proofErr w:type="spellEnd"/>
    </w:p>
    <w:p w14:paraId="5E3CDD6B" w14:textId="77777777" w:rsidR="000220E3" w:rsidRPr="006C5952" w:rsidRDefault="000220E3" w:rsidP="000220E3">
      <w:pPr>
        <w:rPr>
          <w:lang w:val="en-US"/>
        </w:rPr>
      </w:pPr>
      <w:r w:rsidRPr="006C5952">
        <w:rPr>
          <w:lang w:val="en-US"/>
        </w:rPr>
        <w:t>On 1 January 2016, the legislation on Job, Guidance and Skilling Centers Was passed in the by the Greenlandic national Assembly (</w:t>
      </w:r>
      <w:proofErr w:type="spellStart"/>
      <w:r w:rsidRPr="006C5952">
        <w:rPr>
          <w:lang w:val="en-US"/>
        </w:rPr>
        <w:t>inatsisartut</w:t>
      </w:r>
      <w:proofErr w:type="spellEnd"/>
      <w:r w:rsidRPr="006C5952">
        <w:rPr>
          <w:lang w:val="en-US"/>
        </w:rPr>
        <w:t xml:space="preserve">). The legislation entails several changes that have an impact on the municipalities' management of the labor market, social and educational areas. The changes meant that the former </w:t>
      </w:r>
      <w:proofErr w:type="spellStart"/>
      <w:r w:rsidRPr="006C5952">
        <w:rPr>
          <w:lang w:val="en-US"/>
        </w:rPr>
        <w:t>Piareersarfiit</w:t>
      </w:r>
      <w:proofErr w:type="spellEnd"/>
      <w:r w:rsidRPr="006C5952">
        <w:rPr>
          <w:lang w:val="en-US"/>
        </w:rPr>
        <w:t xml:space="preserve"> centers and Labor Market Offices emerged into one municipal administrative unit under the name </w:t>
      </w:r>
      <w:proofErr w:type="spellStart"/>
      <w:r w:rsidRPr="006C5952">
        <w:rPr>
          <w:lang w:val="en-US"/>
        </w:rPr>
        <w:t>Majoriaq</w:t>
      </w:r>
      <w:proofErr w:type="spellEnd"/>
      <w:r w:rsidRPr="006C5952">
        <w:rPr>
          <w:lang w:val="en-US"/>
        </w:rPr>
        <w:t xml:space="preserve"> with a center in all cities, 17 in total.</w:t>
      </w:r>
    </w:p>
    <w:p w14:paraId="6007481B" w14:textId="77777777" w:rsidR="000220E3" w:rsidRPr="006C5952" w:rsidRDefault="000220E3" w:rsidP="000220E3">
      <w:pPr>
        <w:rPr>
          <w:lang w:val="en-US"/>
        </w:rPr>
      </w:pPr>
      <w:r w:rsidRPr="006C5952">
        <w:rPr>
          <w:lang w:val="en-US"/>
        </w:rPr>
        <w:t xml:space="preserve">The main task of the </w:t>
      </w:r>
      <w:bookmarkStart w:id="1" w:name="_Hlk76375576"/>
      <w:proofErr w:type="spellStart"/>
      <w:r w:rsidRPr="006C5952">
        <w:rPr>
          <w:lang w:val="en-US"/>
        </w:rPr>
        <w:t>Majoriaq</w:t>
      </w:r>
      <w:proofErr w:type="spellEnd"/>
      <w:r w:rsidRPr="006C5952">
        <w:rPr>
          <w:lang w:val="en-US"/>
        </w:rPr>
        <w:t xml:space="preserve"> </w:t>
      </w:r>
      <w:bookmarkEnd w:id="1"/>
      <w:r w:rsidRPr="006C5952">
        <w:rPr>
          <w:lang w:val="en-US"/>
        </w:rPr>
        <w:t>centers is to compile the guidelines within the job and labor market and as well as guidance to education and job qualification in academic and non-academic courses.</w:t>
      </w:r>
    </w:p>
    <w:p w14:paraId="126625C7" w14:textId="77777777" w:rsidR="000220E3" w:rsidRPr="006C5952" w:rsidRDefault="000220E3" w:rsidP="000220E3">
      <w:pPr>
        <w:rPr>
          <w:lang w:val="en-US"/>
        </w:rPr>
      </w:pPr>
      <w:r w:rsidRPr="006C5952">
        <w:rPr>
          <w:lang w:val="en-US"/>
        </w:rPr>
        <w:t xml:space="preserve">The primary goal is to offer the most appropriate initiative in relation to the person's situation and opportunities, which should help the citizen back or into the labor market or into education. The </w:t>
      </w:r>
      <w:proofErr w:type="spellStart"/>
      <w:r w:rsidRPr="006C5952">
        <w:rPr>
          <w:lang w:val="en-US"/>
        </w:rPr>
        <w:t>Majoriaq</w:t>
      </w:r>
      <w:proofErr w:type="spellEnd"/>
      <w:r w:rsidRPr="006C5952">
        <w:rPr>
          <w:lang w:val="en-US"/>
        </w:rPr>
        <w:t xml:space="preserve"> centers must create a link between education, the labor market, the social </w:t>
      </w:r>
      <w:proofErr w:type="gramStart"/>
      <w:r w:rsidRPr="006C5952">
        <w:rPr>
          <w:lang w:val="en-US"/>
        </w:rPr>
        <w:t>area</w:t>
      </w:r>
      <w:proofErr w:type="gramEnd"/>
      <w:r w:rsidRPr="006C5952">
        <w:rPr>
          <w:lang w:val="en-US"/>
        </w:rPr>
        <w:t xml:space="preserve"> and business for the individual citizen. </w:t>
      </w:r>
    </w:p>
    <w:p w14:paraId="73C40155" w14:textId="77777777" w:rsidR="000220E3" w:rsidRPr="006C5952" w:rsidRDefault="000220E3" w:rsidP="000220E3">
      <w:pPr>
        <w:rPr>
          <w:b/>
          <w:bCs/>
          <w:lang w:val="en-US"/>
        </w:rPr>
      </w:pPr>
    </w:p>
    <w:p w14:paraId="41740301" w14:textId="77777777" w:rsidR="000220E3" w:rsidRPr="006C5952" w:rsidRDefault="000220E3" w:rsidP="000220E3">
      <w:pPr>
        <w:rPr>
          <w:b/>
          <w:bCs/>
          <w:lang w:val="en-US"/>
        </w:rPr>
      </w:pPr>
      <w:r w:rsidRPr="006C5952">
        <w:rPr>
          <w:b/>
          <w:bCs/>
          <w:lang w:val="en-US"/>
        </w:rPr>
        <w:t xml:space="preserve">Matching the Individual into </w:t>
      </w:r>
      <w:proofErr w:type="spellStart"/>
      <w:r w:rsidRPr="006C5952">
        <w:rPr>
          <w:b/>
          <w:bCs/>
          <w:lang w:val="en-US"/>
        </w:rPr>
        <w:t>tree</w:t>
      </w:r>
      <w:proofErr w:type="spellEnd"/>
      <w:r w:rsidRPr="006C5952">
        <w:rPr>
          <w:b/>
          <w:bCs/>
          <w:lang w:val="en-US"/>
        </w:rPr>
        <w:t xml:space="preserve"> groups  </w:t>
      </w:r>
    </w:p>
    <w:p w14:paraId="1AA41136" w14:textId="77777777" w:rsidR="000220E3" w:rsidRPr="006C5952" w:rsidRDefault="000220E3" w:rsidP="000220E3">
      <w:pPr>
        <w:rPr>
          <w:lang w:val="en-US"/>
        </w:rPr>
      </w:pPr>
      <w:r w:rsidRPr="006C5952">
        <w:rPr>
          <w:lang w:val="en-US"/>
        </w:rPr>
        <w:t xml:space="preserve">Unemployed individuals who contact the </w:t>
      </w:r>
      <w:proofErr w:type="spellStart"/>
      <w:r w:rsidRPr="006C5952">
        <w:rPr>
          <w:lang w:val="en-US"/>
        </w:rPr>
        <w:t>Majoriaq</w:t>
      </w:r>
      <w:proofErr w:type="spellEnd"/>
      <w:r w:rsidRPr="006C5952">
        <w:rPr>
          <w:lang w:val="en-US"/>
        </w:rPr>
        <w:t xml:space="preserve"> center will be matched into groups. This " match grouping " will help to provide an overview of the country's unemployment rate. Match grouping is as a tool to benefit citizens so they can receive the proper aid.</w:t>
      </w:r>
    </w:p>
    <w:p w14:paraId="233501E9" w14:textId="77777777" w:rsidR="000220E3" w:rsidRPr="006C5952" w:rsidRDefault="000220E3" w:rsidP="000220E3">
      <w:pPr>
        <w:shd w:val="clear" w:color="auto" w:fill="FDFDFD"/>
        <w:spacing w:after="0" w:line="240" w:lineRule="auto"/>
        <w:rPr>
          <w:lang w:val="en-US"/>
        </w:rPr>
      </w:pPr>
      <w:r w:rsidRPr="006C5952">
        <w:rPr>
          <w:lang w:val="en-US"/>
        </w:rPr>
        <w:t xml:space="preserve">The unemployed are divided into three categories: </w:t>
      </w:r>
    </w:p>
    <w:p w14:paraId="43971173" w14:textId="77777777" w:rsidR="000220E3" w:rsidRPr="006C5952" w:rsidRDefault="000220E3" w:rsidP="000220E3">
      <w:pPr>
        <w:rPr>
          <w:lang w:val="en-US"/>
        </w:rPr>
      </w:pPr>
    </w:p>
    <w:p w14:paraId="15853F66" w14:textId="77777777" w:rsidR="000220E3" w:rsidRPr="006C5952" w:rsidRDefault="000220E3" w:rsidP="000220E3">
      <w:pPr>
        <w:pStyle w:val="Listeafsnit"/>
        <w:numPr>
          <w:ilvl w:val="0"/>
          <w:numId w:val="5"/>
        </w:numPr>
        <w:spacing w:after="160" w:line="256" w:lineRule="auto"/>
        <w:rPr>
          <w:lang w:val="en-US"/>
        </w:rPr>
      </w:pPr>
      <w:r w:rsidRPr="006C5952">
        <w:rPr>
          <w:b/>
          <w:bCs/>
          <w:lang w:val="en-US"/>
        </w:rPr>
        <w:t>Group 1</w:t>
      </w:r>
      <w:r w:rsidRPr="006C5952">
        <w:rPr>
          <w:lang w:val="en-US"/>
        </w:rPr>
        <w:t xml:space="preserve">: </w:t>
      </w:r>
      <w:r w:rsidRPr="006C5952">
        <w:rPr>
          <w:i/>
          <w:iCs/>
          <w:lang w:val="en-US"/>
        </w:rPr>
        <w:t>Job ready</w:t>
      </w:r>
      <w:r w:rsidRPr="006C5952">
        <w:rPr>
          <w:lang w:val="en-US"/>
        </w:rPr>
        <w:t xml:space="preserve"> – this unemployed individual is expected to be able to go into the labor market immediately. </w:t>
      </w:r>
    </w:p>
    <w:p w14:paraId="33DDDEA2" w14:textId="77777777" w:rsidR="000220E3" w:rsidRPr="006C5952" w:rsidRDefault="000220E3" w:rsidP="000220E3">
      <w:pPr>
        <w:pStyle w:val="Listeafsnit"/>
        <w:numPr>
          <w:ilvl w:val="0"/>
          <w:numId w:val="5"/>
        </w:numPr>
        <w:spacing w:after="160" w:line="256" w:lineRule="auto"/>
        <w:rPr>
          <w:lang w:val="en-US"/>
        </w:rPr>
      </w:pPr>
      <w:r w:rsidRPr="006C5952">
        <w:rPr>
          <w:b/>
          <w:bCs/>
          <w:lang w:val="en-US"/>
        </w:rPr>
        <w:t>Group 2</w:t>
      </w:r>
      <w:r w:rsidRPr="006C5952">
        <w:rPr>
          <w:lang w:val="en-US"/>
        </w:rPr>
        <w:t xml:space="preserve">: Ready for Action – this unemployed individual can participate in active offers, such as rehabilitation. </w:t>
      </w:r>
    </w:p>
    <w:p w14:paraId="61B2B7A1" w14:textId="77777777" w:rsidR="000220E3" w:rsidRPr="006C5952" w:rsidRDefault="000220E3" w:rsidP="000220E3">
      <w:pPr>
        <w:pStyle w:val="Listeafsnit"/>
        <w:numPr>
          <w:ilvl w:val="0"/>
          <w:numId w:val="5"/>
        </w:numPr>
        <w:spacing w:after="160" w:line="256" w:lineRule="auto"/>
        <w:rPr>
          <w:lang w:val="en-US"/>
        </w:rPr>
      </w:pPr>
      <w:r w:rsidRPr="006C5952">
        <w:rPr>
          <w:b/>
          <w:bCs/>
          <w:lang w:val="en-US"/>
        </w:rPr>
        <w:t>Group 3</w:t>
      </w:r>
      <w:r w:rsidRPr="006C5952">
        <w:rPr>
          <w:lang w:val="en-US"/>
        </w:rPr>
        <w:t>: Temporary passive – this unemployed individual is neither ready for work, nor is he/she capable of participating in program offers.</w:t>
      </w:r>
    </w:p>
    <w:p w14:paraId="203B7FF8" w14:textId="77777777" w:rsidR="000220E3" w:rsidRPr="006C5952" w:rsidRDefault="000220E3" w:rsidP="000220E3">
      <w:pPr>
        <w:rPr>
          <w:lang w:val="en-US"/>
        </w:rPr>
      </w:pPr>
    </w:p>
    <w:p w14:paraId="25A916D3" w14:textId="77777777" w:rsidR="000220E3" w:rsidRPr="006C5952" w:rsidRDefault="000220E3" w:rsidP="000220E3">
      <w:pPr>
        <w:rPr>
          <w:b/>
          <w:bCs/>
          <w:lang w:val="en-US"/>
        </w:rPr>
      </w:pPr>
    </w:p>
    <w:p w14:paraId="62DD6C4D" w14:textId="77777777" w:rsidR="000220E3" w:rsidRPr="006C5952" w:rsidRDefault="000220E3" w:rsidP="000220E3">
      <w:pPr>
        <w:rPr>
          <w:b/>
          <w:bCs/>
          <w:lang w:val="en-US"/>
        </w:rPr>
      </w:pPr>
      <w:proofErr w:type="spellStart"/>
      <w:r w:rsidRPr="006C5952">
        <w:rPr>
          <w:b/>
          <w:bCs/>
          <w:lang w:val="en-US"/>
        </w:rPr>
        <w:t>Majoriaq</w:t>
      </w:r>
      <w:proofErr w:type="spellEnd"/>
      <w:r w:rsidRPr="006C5952">
        <w:rPr>
          <w:b/>
          <w:bCs/>
          <w:lang w:val="en-US"/>
        </w:rPr>
        <w:t xml:space="preserve"> center </w:t>
      </w:r>
    </w:p>
    <w:p w14:paraId="6390A308" w14:textId="77777777" w:rsidR="000220E3" w:rsidRPr="006C5952" w:rsidRDefault="000220E3" w:rsidP="000220E3">
      <w:pPr>
        <w:rPr>
          <w:lang w:val="en-US"/>
        </w:rPr>
      </w:pPr>
      <w:r w:rsidRPr="006C5952">
        <w:rPr>
          <w:lang w:val="en-US"/>
        </w:rPr>
        <w:t xml:space="preserve">The </w:t>
      </w:r>
      <w:proofErr w:type="spellStart"/>
      <w:r w:rsidRPr="006C5952">
        <w:rPr>
          <w:lang w:val="en-US"/>
        </w:rPr>
        <w:t>Majoriaq</w:t>
      </w:r>
      <w:proofErr w:type="spellEnd"/>
      <w:r w:rsidRPr="006C5952">
        <w:rPr>
          <w:lang w:val="en-US"/>
        </w:rPr>
        <w:t xml:space="preserve"> centers tasks is to compile with the guidelines within the job and labor market as well as </w:t>
      </w:r>
      <w:proofErr w:type="spellStart"/>
      <w:r w:rsidRPr="006C5952">
        <w:rPr>
          <w:lang w:val="en-US"/>
        </w:rPr>
        <w:t>guideness</w:t>
      </w:r>
      <w:proofErr w:type="spellEnd"/>
      <w:r w:rsidRPr="006C5952">
        <w:rPr>
          <w:lang w:val="en-US"/>
        </w:rPr>
        <w:t xml:space="preserve"> to educations and job qualifications.</w:t>
      </w:r>
    </w:p>
    <w:p w14:paraId="3ECB5AAC" w14:textId="77777777" w:rsidR="000220E3" w:rsidRPr="006C5952" w:rsidRDefault="000220E3" w:rsidP="000220E3">
      <w:pPr>
        <w:rPr>
          <w:lang w:val="en-US"/>
        </w:rPr>
      </w:pPr>
      <w:r w:rsidRPr="006C5952">
        <w:rPr>
          <w:lang w:val="en-US"/>
        </w:rPr>
        <w:t xml:space="preserve">In addition to the </w:t>
      </w:r>
      <w:proofErr w:type="spellStart"/>
      <w:r w:rsidRPr="006C5952">
        <w:rPr>
          <w:lang w:val="en-US"/>
        </w:rPr>
        <w:t>Majoriaq</w:t>
      </w:r>
      <w:proofErr w:type="spellEnd"/>
      <w:r w:rsidRPr="006C5952">
        <w:rPr>
          <w:lang w:val="en-US"/>
        </w:rPr>
        <w:t xml:space="preserve"> centers </w:t>
      </w:r>
      <w:proofErr w:type="gramStart"/>
      <w:r w:rsidRPr="006C5952">
        <w:rPr>
          <w:lang w:val="en-US"/>
        </w:rPr>
        <w:t>provide  support</w:t>
      </w:r>
      <w:proofErr w:type="gramEnd"/>
      <w:r w:rsidRPr="006C5952">
        <w:rPr>
          <w:lang w:val="en-US"/>
        </w:rPr>
        <w:t xml:space="preserve"> service to the citizens. The </w:t>
      </w:r>
      <w:proofErr w:type="spellStart"/>
      <w:r w:rsidRPr="006C5952">
        <w:rPr>
          <w:lang w:val="en-US"/>
        </w:rPr>
        <w:t>Majoriaq</w:t>
      </w:r>
      <w:proofErr w:type="spellEnd"/>
      <w:r w:rsidRPr="006C5952">
        <w:rPr>
          <w:lang w:val="en-US"/>
        </w:rPr>
        <w:t xml:space="preserve"> centers also administer the labor market benefits, paid to the unemployed. </w:t>
      </w:r>
      <w:proofErr w:type="spellStart"/>
      <w:r w:rsidRPr="006C5952">
        <w:rPr>
          <w:lang w:val="en-US"/>
        </w:rPr>
        <w:t>Majoriaq</w:t>
      </w:r>
      <w:proofErr w:type="spellEnd"/>
      <w:r w:rsidRPr="006C5952">
        <w:rPr>
          <w:lang w:val="en-US"/>
        </w:rPr>
        <w:t xml:space="preserve"> is designed so that the unemployed only must apply in one place. In the </w:t>
      </w:r>
      <w:proofErr w:type="spellStart"/>
      <w:r w:rsidRPr="006C5952">
        <w:rPr>
          <w:lang w:val="en-US"/>
        </w:rPr>
        <w:t>Majoriaq</w:t>
      </w:r>
      <w:proofErr w:type="spellEnd"/>
      <w:r w:rsidRPr="006C5952">
        <w:rPr>
          <w:lang w:val="en-US"/>
        </w:rPr>
        <w:t xml:space="preserve"> centers, job-ready citizens are offered an individual action plan. The goal of these </w:t>
      </w:r>
      <w:proofErr w:type="spellStart"/>
      <w:r w:rsidRPr="006C5952">
        <w:rPr>
          <w:lang w:val="en-US"/>
        </w:rPr>
        <w:t>individusl</w:t>
      </w:r>
      <w:proofErr w:type="spellEnd"/>
      <w:r w:rsidRPr="006C5952">
        <w:rPr>
          <w:lang w:val="en-US"/>
        </w:rPr>
        <w:t xml:space="preserve"> action plan is to plan initiatives so that the person in question eventually becomes permanently employed or in training.</w:t>
      </w:r>
    </w:p>
    <w:p w14:paraId="1A62607D" w14:textId="77777777" w:rsidR="000220E3" w:rsidRPr="006C5952" w:rsidRDefault="000220E3" w:rsidP="000220E3">
      <w:pPr>
        <w:rPr>
          <w:lang w:val="en-US"/>
        </w:rPr>
      </w:pPr>
    </w:p>
    <w:p w14:paraId="4B1C5362" w14:textId="77777777" w:rsidR="000220E3" w:rsidRPr="006C5952" w:rsidRDefault="000220E3" w:rsidP="000220E3">
      <w:pPr>
        <w:rPr>
          <w:lang w:val="en-US"/>
        </w:rPr>
      </w:pPr>
      <w:proofErr w:type="spellStart"/>
      <w:r w:rsidRPr="006C5952">
        <w:rPr>
          <w:lang w:val="en-US"/>
        </w:rPr>
        <w:t>Inwith</w:t>
      </w:r>
      <w:proofErr w:type="spellEnd"/>
      <w:r w:rsidRPr="006C5952">
        <w:rPr>
          <w:lang w:val="en-US"/>
        </w:rPr>
        <w:t xml:space="preserve"> </w:t>
      </w:r>
      <w:proofErr w:type="spellStart"/>
      <w:r w:rsidRPr="006C5952">
        <w:rPr>
          <w:lang w:val="en-US"/>
        </w:rPr>
        <w:t>Majoriaq</w:t>
      </w:r>
      <w:proofErr w:type="spellEnd"/>
      <w:r w:rsidRPr="006C5952">
        <w:rPr>
          <w:lang w:val="en-US"/>
        </w:rPr>
        <w:t xml:space="preserve"> deals with three tasks:</w:t>
      </w:r>
    </w:p>
    <w:p w14:paraId="18B7A461" w14:textId="77777777" w:rsidR="000220E3" w:rsidRPr="006C5952" w:rsidRDefault="000220E3" w:rsidP="000220E3">
      <w:pPr>
        <w:rPr>
          <w:lang w:val="en-US"/>
        </w:rPr>
      </w:pPr>
      <w:r w:rsidRPr="006C5952">
        <w:rPr>
          <w:lang w:val="en-US"/>
        </w:rPr>
        <w:t xml:space="preserve">• Job placement </w:t>
      </w:r>
    </w:p>
    <w:p w14:paraId="5829E58B" w14:textId="77777777" w:rsidR="000220E3" w:rsidRPr="006C5952" w:rsidRDefault="000220E3" w:rsidP="000220E3">
      <w:pPr>
        <w:rPr>
          <w:lang w:val="en-US"/>
        </w:rPr>
      </w:pPr>
      <w:r w:rsidRPr="006C5952">
        <w:rPr>
          <w:lang w:val="en-US"/>
        </w:rPr>
        <w:t xml:space="preserve">• Guidance for education and jobs </w:t>
      </w:r>
    </w:p>
    <w:p w14:paraId="5A57EA33" w14:textId="77777777" w:rsidR="000220E3" w:rsidRPr="006C5952" w:rsidRDefault="000220E3" w:rsidP="000220E3">
      <w:pPr>
        <w:rPr>
          <w:lang w:val="en-US"/>
        </w:rPr>
      </w:pPr>
      <w:r w:rsidRPr="006C5952">
        <w:rPr>
          <w:lang w:val="en-US"/>
        </w:rPr>
        <w:t xml:space="preserve">• Retraining for education and work </w:t>
      </w:r>
    </w:p>
    <w:p w14:paraId="79C08529" w14:textId="77777777" w:rsidR="000220E3" w:rsidRPr="006C5952" w:rsidRDefault="000220E3" w:rsidP="000220E3">
      <w:pPr>
        <w:rPr>
          <w:b/>
          <w:bCs/>
          <w:lang w:val="en-US"/>
        </w:rPr>
      </w:pPr>
    </w:p>
    <w:p w14:paraId="69C15F8B" w14:textId="77777777" w:rsidR="000220E3" w:rsidRPr="006C5952" w:rsidRDefault="000220E3" w:rsidP="000220E3">
      <w:pPr>
        <w:shd w:val="clear" w:color="auto" w:fill="FDFDFD"/>
        <w:spacing w:after="0" w:line="240" w:lineRule="auto"/>
        <w:rPr>
          <w:rFonts w:ascii="Segoe UI" w:eastAsia="Times New Roman" w:hAnsi="Segoe UI" w:cs="Segoe UI"/>
          <w:b/>
          <w:bCs/>
          <w:sz w:val="21"/>
          <w:szCs w:val="21"/>
          <w:lang w:val="en-US" w:eastAsia="kl-GL"/>
        </w:rPr>
      </w:pPr>
      <w:r w:rsidRPr="006C5952">
        <w:rPr>
          <w:rFonts w:ascii="Segoe UI" w:eastAsia="Times New Roman" w:hAnsi="Segoe UI" w:cs="Segoe UI"/>
          <w:b/>
          <w:bCs/>
          <w:sz w:val="21"/>
          <w:szCs w:val="21"/>
          <w:lang w:val="en-US" w:eastAsia="kl-GL"/>
        </w:rPr>
        <w:t xml:space="preserve">Job Placement </w:t>
      </w:r>
    </w:p>
    <w:p w14:paraId="3A7B35D5" w14:textId="77777777" w:rsidR="000220E3" w:rsidRPr="006C5952" w:rsidRDefault="000220E3" w:rsidP="000220E3">
      <w:pPr>
        <w:shd w:val="clear" w:color="auto" w:fill="FDFDFD"/>
        <w:spacing w:after="0" w:line="240" w:lineRule="auto"/>
        <w:rPr>
          <w:rFonts w:ascii="Segoe UI" w:eastAsia="Times New Roman" w:hAnsi="Segoe UI" w:cs="Segoe UI"/>
          <w:sz w:val="21"/>
          <w:szCs w:val="21"/>
          <w:lang w:val="en-US" w:eastAsia="kl-GL"/>
        </w:rPr>
      </w:pPr>
      <w:proofErr w:type="spellStart"/>
      <w:r w:rsidRPr="006C5952">
        <w:rPr>
          <w:rFonts w:ascii="Segoe UI" w:eastAsia="Times New Roman" w:hAnsi="Segoe UI" w:cs="Segoe UI"/>
          <w:sz w:val="21"/>
          <w:szCs w:val="21"/>
          <w:lang w:val="en-US" w:eastAsia="kl-GL"/>
        </w:rPr>
        <w:t>Majoriaq</w:t>
      </w:r>
      <w:proofErr w:type="spellEnd"/>
      <w:r w:rsidRPr="006C5952">
        <w:rPr>
          <w:rFonts w:ascii="Segoe UI" w:eastAsia="Times New Roman" w:hAnsi="Segoe UI" w:cs="Segoe UI"/>
          <w:sz w:val="21"/>
          <w:szCs w:val="21"/>
          <w:lang w:val="en-US" w:eastAsia="kl-GL"/>
        </w:rPr>
        <w:t xml:space="preserve"> facilitates connections between employers and the unemployed, so that vacant jobs are filled by labor resident in Greenland. This means that </w:t>
      </w:r>
      <w:proofErr w:type="spellStart"/>
      <w:r w:rsidRPr="006C5952">
        <w:rPr>
          <w:rFonts w:ascii="Segoe UI" w:eastAsia="Times New Roman" w:hAnsi="Segoe UI" w:cs="Segoe UI"/>
          <w:sz w:val="21"/>
          <w:szCs w:val="21"/>
          <w:lang w:val="en-US" w:eastAsia="kl-GL"/>
        </w:rPr>
        <w:t>Majoriaq</w:t>
      </w:r>
      <w:proofErr w:type="spellEnd"/>
      <w:r w:rsidRPr="006C5952">
        <w:rPr>
          <w:rFonts w:ascii="Segoe UI" w:eastAsia="Times New Roman" w:hAnsi="Segoe UI" w:cs="Segoe UI"/>
          <w:sz w:val="21"/>
          <w:szCs w:val="21"/>
          <w:lang w:val="en-US" w:eastAsia="kl-GL"/>
        </w:rPr>
        <w:t xml:space="preserve"> must have knowledge of what demands business have and try match the demands with the skills of the unemployed. If the skills of the unemployed are lacking, they must be upskilled as much as possible to meet the skill set required by business.</w:t>
      </w:r>
    </w:p>
    <w:p w14:paraId="23CCFA28" w14:textId="77777777" w:rsidR="000220E3" w:rsidRPr="006C5952" w:rsidRDefault="000220E3" w:rsidP="000220E3">
      <w:pPr>
        <w:shd w:val="clear" w:color="auto" w:fill="FDFDFD"/>
        <w:spacing w:after="0" w:line="240" w:lineRule="auto"/>
        <w:rPr>
          <w:rFonts w:ascii="Segoe UI" w:eastAsia="Times New Roman" w:hAnsi="Segoe UI" w:cs="Segoe UI"/>
          <w:sz w:val="21"/>
          <w:szCs w:val="21"/>
          <w:lang w:val="en-US" w:eastAsia="kl-GL"/>
        </w:rPr>
      </w:pPr>
    </w:p>
    <w:p w14:paraId="09A598D7" w14:textId="77777777" w:rsidR="000220E3" w:rsidRPr="006C5952" w:rsidRDefault="000220E3" w:rsidP="000220E3">
      <w:pPr>
        <w:shd w:val="clear" w:color="auto" w:fill="FDFDFD"/>
        <w:spacing w:after="0" w:line="240" w:lineRule="auto"/>
        <w:rPr>
          <w:rFonts w:ascii="Segoe UI" w:eastAsia="Times New Roman" w:hAnsi="Segoe UI" w:cs="Segoe UI"/>
          <w:b/>
          <w:bCs/>
          <w:sz w:val="21"/>
          <w:szCs w:val="21"/>
          <w:lang w:val="en-US" w:eastAsia="kl-GL"/>
        </w:rPr>
      </w:pPr>
      <w:r w:rsidRPr="006C5952">
        <w:rPr>
          <w:rFonts w:ascii="Segoe UI" w:eastAsia="Times New Roman" w:hAnsi="Segoe UI" w:cs="Segoe UI"/>
          <w:b/>
          <w:bCs/>
          <w:sz w:val="21"/>
          <w:szCs w:val="21"/>
          <w:lang w:val="en-US" w:eastAsia="kl-GL"/>
        </w:rPr>
        <w:t xml:space="preserve">Guidance </w:t>
      </w:r>
    </w:p>
    <w:p w14:paraId="30E52E72" w14:textId="77777777" w:rsidR="000220E3" w:rsidRPr="006C5952" w:rsidRDefault="000220E3" w:rsidP="000220E3">
      <w:pPr>
        <w:shd w:val="clear" w:color="auto" w:fill="FDFDFD"/>
        <w:spacing w:after="0" w:line="240" w:lineRule="auto"/>
        <w:rPr>
          <w:rFonts w:ascii="Segoe UI" w:eastAsia="Times New Roman" w:hAnsi="Segoe UI" w:cs="Segoe UI"/>
          <w:sz w:val="21"/>
          <w:szCs w:val="21"/>
          <w:lang w:val="en-US" w:eastAsia="kl-GL"/>
        </w:rPr>
      </w:pPr>
      <w:proofErr w:type="spellStart"/>
      <w:r w:rsidRPr="006C5952">
        <w:rPr>
          <w:rFonts w:ascii="Segoe UI" w:eastAsia="Times New Roman" w:hAnsi="Segoe UI" w:cs="Segoe UI"/>
          <w:sz w:val="21"/>
          <w:szCs w:val="21"/>
          <w:lang w:val="en-US" w:eastAsia="kl-GL"/>
        </w:rPr>
        <w:t>Majoriaq</w:t>
      </w:r>
      <w:proofErr w:type="spellEnd"/>
      <w:r w:rsidRPr="006C5952">
        <w:rPr>
          <w:rFonts w:ascii="Segoe UI" w:eastAsia="Times New Roman" w:hAnsi="Segoe UI" w:cs="Segoe UI"/>
          <w:sz w:val="21"/>
          <w:szCs w:val="21"/>
          <w:lang w:val="en-US" w:eastAsia="kl-GL"/>
        </w:rPr>
        <w:t xml:space="preserve"> offers guidance on career opportunities, education, completion of primary school and guidance on the labor market. Guiding competently and effectively ensures that citizens are given the right direction for their future. As </w:t>
      </w:r>
      <w:proofErr w:type="spellStart"/>
      <w:r w:rsidRPr="006C5952">
        <w:rPr>
          <w:rFonts w:ascii="Segoe UI" w:eastAsia="Times New Roman" w:hAnsi="Segoe UI" w:cs="Segoe UI"/>
          <w:sz w:val="21"/>
          <w:szCs w:val="21"/>
          <w:lang w:val="en-US" w:eastAsia="kl-GL"/>
        </w:rPr>
        <w:t>Majoriaq</w:t>
      </w:r>
      <w:proofErr w:type="spellEnd"/>
      <w:r w:rsidRPr="006C5952">
        <w:rPr>
          <w:rFonts w:ascii="Segoe UI" w:eastAsia="Times New Roman" w:hAnsi="Segoe UI" w:cs="Segoe UI"/>
          <w:sz w:val="21"/>
          <w:szCs w:val="21"/>
          <w:lang w:val="en-US" w:eastAsia="kl-GL"/>
        </w:rPr>
        <w:t xml:space="preserve"> guides both for education, upskilling, and work; the guide is carried out in cooperation with the individual, by drawing up an action plan that has a clear objective and clearly defined sub-objectives along the way. The action plan aims to bring the citizen into employment and/or education.</w:t>
      </w:r>
    </w:p>
    <w:p w14:paraId="6333AA0C" w14:textId="77777777" w:rsidR="000220E3" w:rsidRPr="006C5952" w:rsidRDefault="000220E3" w:rsidP="000220E3">
      <w:pPr>
        <w:shd w:val="clear" w:color="auto" w:fill="FDFDFD"/>
        <w:spacing w:after="0" w:line="240" w:lineRule="auto"/>
        <w:rPr>
          <w:rFonts w:eastAsia="Times New Roman"/>
          <w:b/>
          <w:bCs/>
          <w:lang w:val="en-US" w:eastAsia="kl-GL"/>
        </w:rPr>
      </w:pPr>
    </w:p>
    <w:p w14:paraId="500F7802" w14:textId="77777777" w:rsidR="000220E3" w:rsidRPr="006C5952" w:rsidRDefault="000220E3" w:rsidP="000220E3">
      <w:pPr>
        <w:shd w:val="clear" w:color="auto" w:fill="FDFDFD"/>
        <w:spacing w:after="0" w:line="240" w:lineRule="auto"/>
        <w:rPr>
          <w:rFonts w:ascii="Segoe UI" w:eastAsia="Times New Roman" w:hAnsi="Segoe UI" w:cs="Segoe UI"/>
          <w:b/>
          <w:bCs/>
          <w:sz w:val="21"/>
          <w:szCs w:val="21"/>
          <w:lang w:val="en-US" w:eastAsia="kl-GL"/>
        </w:rPr>
      </w:pPr>
      <w:r w:rsidRPr="006C5952">
        <w:rPr>
          <w:rFonts w:eastAsia="Times New Roman"/>
          <w:b/>
          <w:bCs/>
          <w:lang w:val="en-US" w:eastAsia="kl-GL"/>
        </w:rPr>
        <w:t>Upskilling</w:t>
      </w:r>
      <w:r w:rsidRPr="006C5952">
        <w:rPr>
          <w:rFonts w:ascii="Segoe UI" w:eastAsia="Times New Roman" w:hAnsi="Segoe UI" w:cs="Segoe UI"/>
          <w:b/>
          <w:bCs/>
          <w:sz w:val="21"/>
          <w:szCs w:val="21"/>
          <w:lang w:val="en-US" w:eastAsia="kl-GL"/>
        </w:rPr>
        <w:t xml:space="preserve"> </w:t>
      </w:r>
      <w:r w:rsidRPr="006C5952">
        <w:rPr>
          <w:rFonts w:eastAsia="Times New Roman"/>
          <w:b/>
          <w:bCs/>
          <w:lang w:val="en-US" w:eastAsia="kl-GL"/>
        </w:rPr>
        <w:t>for</w:t>
      </w:r>
      <w:r w:rsidRPr="006C5952">
        <w:rPr>
          <w:rFonts w:ascii="Segoe UI" w:eastAsia="Times New Roman" w:hAnsi="Segoe UI" w:cs="Segoe UI"/>
          <w:b/>
          <w:bCs/>
          <w:sz w:val="21"/>
          <w:szCs w:val="21"/>
          <w:lang w:val="en-US" w:eastAsia="kl-GL"/>
        </w:rPr>
        <w:t xml:space="preserve"> </w:t>
      </w:r>
      <w:r w:rsidRPr="006C5952">
        <w:rPr>
          <w:rFonts w:eastAsia="Times New Roman"/>
          <w:b/>
          <w:bCs/>
          <w:lang w:val="en-US" w:eastAsia="kl-GL"/>
        </w:rPr>
        <w:t>Education</w:t>
      </w:r>
      <w:r w:rsidRPr="006C5952">
        <w:rPr>
          <w:rFonts w:ascii="Segoe UI" w:eastAsia="Times New Roman" w:hAnsi="Segoe UI" w:cs="Segoe UI"/>
          <w:b/>
          <w:bCs/>
          <w:sz w:val="21"/>
          <w:szCs w:val="21"/>
          <w:lang w:val="en-US" w:eastAsia="kl-GL"/>
        </w:rPr>
        <w:t xml:space="preserve"> </w:t>
      </w:r>
      <w:r w:rsidRPr="006C5952">
        <w:rPr>
          <w:rFonts w:eastAsia="Times New Roman"/>
          <w:b/>
          <w:bCs/>
          <w:lang w:val="en-US" w:eastAsia="kl-GL"/>
        </w:rPr>
        <w:t>and</w:t>
      </w:r>
      <w:r w:rsidRPr="006C5952">
        <w:rPr>
          <w:rFonts w:ascii="Segoe UI" w:eastAsia="Times New Roman" w:hAnsi="Segoe UI" w:cs="Segoe UI"/>
          <w:b/>
          <w:bCs/>
          <w:sz w:val="21"/>
          <w:szCs w:val="21"/>
          <w:lang w:val="en-US" w:eastAsia="kl-GL"/>
        </w:rPr>
        <w:t xml:space="preserve"> </w:t>
      </w:r>
      <w:r w:rsidRPr="006C5952">
        <w:rPr>
          <w:rFonts w:eastAsia="Times New Roman"/>
          <w:b/>
          <w:bCs/>
          <w:lang w:val="en-US" w:eastAsia="kl-GL"/>
        </w:rPr>
        <w:t>Work</w:t>
      </w:r>
      <w:r w:rsidRPr="006C5952">
        <w:rPr>
          <w:rFonts w:ascii="Segoe UI" w:eastAsia="Times New Roman" w:hAnsi="Segoe UI" w:cs="Segoe UI"/>
          <w:b/>
          <w:bCs/>
          <w:sz w:val="21"/>
          <w:szCs w:val="21"/>
          <w:lang w:val="en-US" w:eastAsia="kl-GL"/>
        </w:rPr>
        <w:t xml:space="preserve"> </w:t>
      </w:r>
    </w:p>
    <w:p w14:paraId="7C7BC2E8" w14:textId="77777777" w:rsidR="000220E3" w:rsidRPr="006C5952" w:rsidRDefault="000220E3" w:rsidP="000220E3">
      <w:pPr>
        <w:rPr>
          <w:rFonts w:eastAsia="Times New Roman"/>
          <w:lang w:val="en-US" w:eastAsia="kl-GL"/>
        </w:rPr>
      </w:pPr>
      <w:proofErr w:type="spellStart"/>
      <w:r w:rsidRPr="006C5952">
        <w:rPr>
          <w:lang w:val="en-US"/>
        </w:rPr>
        <w:t>Majoriaq</w:t>
      </w:r>
      <w:proofErr w:type="spellEnd"/>
      <w:r w:rsidRPr="006C5952">
        <w:rPr>
          <w:lang w:val="en-US"/>
        </w:rPr>
        <w:t xml:space="preserve"> offers the possibility of taking courses on a primary school level, which gives the possibility   to raise former grades. This may be necessary to meet the entry requirements to enter further education. This is also an option for the citizen that never completed final exams from primary school. </w:t>
      </w:r>
      <w:proofErr w:type="spellStart"/>
      <w:r w:rsidRPr="006C5952">
        <w:rPr>
          <w:lang w:val="en-US"/>
        </w:rPr>
        <w:t>Majoriaq</w:t>
      </w:r>
      <w:proofErr w:type="spellEnd"/>
      <w:r w:rsidRPr="006C5952">
        <w:rPr>
          <w:lang w:val="en-US"/>
        </w:rPr>
        <w:t xml:space="preserve"> also provides several courses for the upskilling of uneducated jobseekers in collaboration with the vocational colleges. The government of Greenland is working towards the re-organization of non-academic courses. These courses must provide qualifying skills in relation to vocational training.  Upskilling of the existing workforce is expected to improve the </w:t>
      </w:r>
      <w:proofErr w:type="gramStart"/>
      <w:r w:rsidRPr="006C5952">
        <w:rPr>
          <w:lang w:val="en-US"/>
        </w:rPr>
        <w:t>individuals</w:t>
      </w:r>
      <w:proofErr w:type="gramEnd"/>
      <w:r w:rsidRPr="006C5952">
        <w:rPr>
          <w:lang w:val="en-US"/>
        </w:rPr>
        <w:t xml:space="preserve"> conditions and possibility to find of work. </w:t>
      </w:r>
      <w:r w:rsidRPr="006C5952">
        <w:rPr>
          <w:rFonts w:eastAsia="Times New Roman"/>
          <w:lang w:val="en-US" w:eastAsia="kl-GL"/>
        </w:rPr>
        <w:t xml:space="preserve">The non-academic courses are for young people who are either not ready to complete </w:t>
      </w:r>
      <w:proofErr w:type="gramStart"/>
      <w:r w:rsidRPr="006C5952">
        <w:rPr>
          <w:rFonts w:eastAsia="Times New Roman"/>
          <w:lang w:val="en-US" w:eastAsia="kl-GL"/>
        </w:rPr>
        <w:t>an</w:t>
      </w:r>
      <w:proofErr w:type="gramEnd"/>
      <w:r w:rsidRPr="006C5952">
        <w:rPr>
          <w:rFonts w:eastAsia="Times New Roman"/>
          <w:lang w:val="en-US" w:eastAsia="kl-GL"/>
        </w:rPr>
        <w:t xml:space="preserve"> primary school course or for those not clear as to how their wishes and competences can be used in the labor market. Therefore, a non-academic course can help bring clarity to the student's own abilities and competences. A non-academic course does not in itself provide access to further education. These practical non-academic courses could be for example, woodworking, cooking, or a course in personal development.</w:t>
      </w:r>
    </w:p>
    <w:p w14:paraId="32F14AD9" w14:textId="77777777" w:rsidR="000220E3" w:rsidRPr="006C5952" w:rsidRDefault="000220E3" w:rsidP="000220E3">
      <w:pPr>
        <w:rPr>
          <w:rFonts w:eastAsia="Times New Roman"/>
          <w:lang w:val="en-US" w:eastAsia="kl-GL"/>
        </w:rPr>
      </w:pPr>
    </w:p>
    <w:p w14:paraId="6DD13761" w14:textId="77777777" w:rsidR="000220E3" w:rsidRPr="006C5952" w:rsidRDefault="000220E3" w:rsidP="000220E3">
      <w:pPr>
        <w:rPr>
          <w:rFonts w:eastAsia="Times New Roman"/>
          <w:b/>
          <w:bCs/>
          <w:lang w:val="en-US" w:eastAsia="kl-GL"/>
        </w:rPr>
      </w:pPr>
      <w:r w:rsidRPr="006C5952">
        <w:rPr>
          <w:rFonts w:eastAsia="Times New Roman"/>
          <w:b/>
          <w:bCs/>
          <w:lang w:val="en-US" w:eastAsia="kl-GL"/>
        </w:rPr>
        <w:t>Social responsibility and employment of interns and trainees.</w:t>
      </w:r>
    </w:p>
    <w:p w14:paraId="0E466832" w14:textId="77777777" w:rsidR="000220E3" w:rsidRPr="006C5952" w:rsidRDefault="000220E3" w:rsidP="000220E3">
      <w:pPr>
        <w:rPr>
          <w:rFonts w:ascii="Candara" w:hAnsi="Candara"/>
          <w:lang w:val="en-US"/>
        </w:rPr>
      </w:pPr>
      <w:r w:rsidRPr="006C5952">
        <w:rPr>
          <w:lang w:val="en-US"/>
        </w:rPr>
        <w:t>The aim of legislation No. 17 of 27. November 2020 “</w:t>
      </w:r>
      <w:r w:rsidRPr="006C5952">
        <w:rPr>
          <w:i/>
          <w:iCs/>
          <w:lang w:val="en-US"/>
        </w:rPr>
        <w:t xml:space="preserve">om </w:t>
      </w:r>
      <w:proofErr w:type="spellStart"/>
      <w:r w:rsidRPr="006C5952">
        <w:rPr>
          <w:i/>
          <w:iCs/>
          <w:lang w:val="en-US"/>
        </w:rPr>
        <w:t>virksomheders</w:t>
      </w:r>
      <w:proofErr w:type="spellEnd"/>
      <w:r w:rsidRPr="006C5952">
        <w:rPr>
          <w:i/>
          <w:iCs/>
          <w:lang w:val="en-US"/>
        </w:rPr>
        <w:t xml:space="preserve"> </w:t>
      </w:r>
      <w:proofErr w:type="spellStart"/>
      <w:r w:rsidRPr="006C5952">
        <w:rPr>
          <w:i/>
          <w:iCs/>
          <w:lang w:val="en-US"/>
        </w:rPr>
        <w:t>og</w:t>
      </w:r>
      <w:proofErr w:type="spellEnd"/>
      <w:r w:rsidRPr="006C5952">
        <w:rPr>
          <w:i/>
          <w:iCs/>
          <w:lang w:val="en-US"/>
        </w:rPr>
        <w:t xml:space="preserve"> </w:t>
      </w:r>
      <w:proofErr w:type="spellStart"/>
      <w:r w:rsidRPr="006C5952">
        <w:rPr>
          <w:i/>
          <w:iCs/>
          <w:lang w:val="en-US"/>
        </w:rPr>
        <w:t>offentlige</w:t>
      </w:r>
      <w:proofErr w:type="spellEnd"/>
      <w:r w:rsidRPr="006C5952">
        <w:rPr>
          <w:i/>
          <w:iCs/>
          <w:lang w:val="en-US"/>
        </w:rPr>
        <w:t xml:space="preserve"> </w:t>
      </w:r>
      <w:proofErr w:type="spellStart"/>
      <w:r w:rsidRPr="006C5952">
        <w:rPr>
          <w:i/>
          <w:iCs/>
          <w:lang w:val="en-US"/>
        </w:rPr>
        <w:t>myndigheders</w:t>
      </w:r>
      <w:proofErr w:type="spellEnd"/>
      <w:r w:rsidRPr="006C5952">
        <w:rPr>
          <w:i/>
          <w:iCs/>
          <w:lang w:val="en-US"/>
        </w:rPr>
        <w:t xml:space="preserve"> </w:t>
      </w:r>
      <w:proofErr w:type="spellStart"/>
      <w:r w:rsidRPr="006C5952">
        <w:rPr>
          <w:i/>
          <w:iCs/>
          <w:lang w:val="en-US"/>
        </w:rPr>
        <w:t>samfundsansvar</w:t>
      </w:r>
      <w:proofErr w:type="spellEnd"/>
      <w:r w:rsidRPr="006C5952">
        <w:rPr>
          <w:i/>
          <w:iCs/>
          <w:lang w:val="en-US"/>
        </w:rPr>
        <w:t xml:space="preserve"> </w:t>
      </w:r>
      <w:proofErr w:type="spellStart"/>
      <w:r w:rsidRPr="006C5952">
        <w:rPr>
          <w:i/>
          <w:iCs/>
          <w:lang w:val="en-US"/>
        </w:rPr>
        <w:t>ved</w:t>
      </w:r>
      <w:proofErr w:type="spellEnd"/>
      <w:r w:rsidRPr="006C5952">
        <w:rPr>
          <w:i/>
          <w:iCs/>
          <w:lang w:val="en-US"/>
        </w:rPr>
        <w:t xml:space="preserve"> </w:t>
      </w:r>
      <w:proofErr w:type="spellStart"/>
      <w:r w:rsidRPr="006C5952">
        <w:rPr>
          <w:i/>
          <w:iCs/>
          <w:lang w:val="en-US"/>
        </w:rPr>
        <w:t>ansættelse</w:t>
      </w:r>
      <w:proofErr w:type="spellEnd"/>
      <w:r w:rsidRPr="006C5952">
        <w:rPr>
          <w:i/>
          <w:iCs/>
          <w:lang w:val="en-US"/>
        </w:rPr>
        <w:t xml:space="preserve"> </w:t>
      </w:r>
      <w:proofErr w:type="spellStart"/>
      <w:r w:rsidRPr="006C5952">
        <w:rPr>
          <w:i/>
          <w:iCs/>
          <w:lang w:val="en-US"/>
        </w:rPr>
        <w:t>af</w:t>
      </w:r>
      <w:proofErr w:type="spellEnd"/>
      <w:r w:rsidRPr="006C5952">
        <w:rPr>
          <w:i/>
          <w:iCs/>
          <w:lang w:val="en-US"/>
        </w:rPr>
        <w:t xml:space="preserve"> </w:t>
      </w:r>
      <w:proofErr w:type="spellStart"/>
      <w:r w:rsidRPr="006C5952">
        <w:rPr>
          <w:i/>
          <w:iCs/>
          <w:lang w:val="en-US"/>
        </w:rPr>
        <w:t>lærlinge</w:t>
      </w:r>
      <w:proofErr w:type="spellEnd"/>
      <w:r w:rsidRPr="006C5952">
        <w:rPr>
          <w:i/>
          <w:iCs/>
          <w:lang w:val="en-US"/>
        </w:rPr>
        <w:t xml:space="preserve"> </w:t>
      </w:r>
      <w:proofErr w:type="spellStart"/>
      <w:r w:rsidRPr="006C5952">
        <w:rPr>
          <w:i/>
          <w:iCs/>
          <w:lang w:val="en-US"/>
        </w:rPr>
        <w:t>og</w:t>
      </w:r>
      <w:proofErr w:type="spellEnd"/>
      <w:r w:rsidRPr="006C5952">
        <w:rPr>
          <w:i/>
          <w:iCs/>
          <w:lang w:val="en-US"/>
        </w:rPr>
        <w:t xml:space="preserve"> </w:t>
      </w:r>
      <w:proofErr w:type="spellStart"/>
      <w:r w:rsidRPr="006C5952">
        <w:rPr>
          <w:i/>
          <w:iCs/>
          <w:lang w:val="en-US"/>
        </w:rPr>
        <w:t>praktikanter</w:t>
      </w:r>
      <w:proofErr w:type="spellEnd"/>
      <w:r w:rsidRPr="006C5952">
        <w:rPr>
          <w:lang w:val="en-US"/>
        </w:rPr>
        <w:t xml:space="preserve">” is to meet the demand for apprentices and internships and to promote the responsibility of private companies and public intuitions when recruiting </w:t>
      </w:r>
      <w:r w:rsidRPr="006C5952">
        <w:rPr>
          <w:lang w:val="en-US"/>
        </w:rPr>
        <w:lastRenderedPageBreak/>
        <w:t xml:space="preserve">apprentices and interns. The law applies to the private sector and public offices with at least has one educated employee, who thereby are obliged to recruit apprentices and interns.  In cooperation with the educational institutions, private companies and public intuitions are obligated to promote apprenticeships and internships to meet the demand for skilled labor. </w:t>
      </w:r>
    </w:p>
    <w:p w14:paraId="3E1805A1" w14:textId="77777777" w:rsidR="000220E3" w:rsidRPr="006C5952" w:rsidRDefault="000220E3" w:rsidP="000220E3">
      <w:pPr>
        <w:rPr>
          <w:rFonts w:ascii="Candara" w:hAnsi="Candara"/>
          <w:lang w:val="en-US"/>
        </w:rPr>
      </w:pPr>
      <w:r w:rsidRPr="006C5952">
        <w:rPr>
          <w:lang w:val="en-US"/>
        </w:rPr>
        <w:t>All companies and public offices across the country are required by law to apply to the relevant educational institution to get approved for recruitment of apprentices and trainees. Companies and public offices are also obliged to advertise for openings for apprenticeships.</w:t>
      </w:r>
      <w:r w:rsidRPr="006C5952">
        <w:rPr>
          <w:rFonts w:ascii="Candara" w:hAnsi="Candara"/>
          <w:lang w:val="en-US"/>
        </w:rPr>
        <w:t xml:space="preserve"> </w:t>
      </w:r>
      <w:r w:rsidRPr="006C5952">
        <w:rPr>
          <w:lang w:val="en-US"/>
        </w:rPr>
        <w:t xml:space="preserve">The Department of </w:t>
      </w:r>
      <w:proofErr w:type="spellStart"/>
      <w:r w:rsidRPr="006C5952">
        <w:rPr>
          <w:lang w:val="en-US"/>
        </w:rPr>
        <w:t>labour</w:t>
      </w:r>
      <w:proofErr w:type="spellEnd"/>
      <w:r w:rsidRPr="006C5952">
        <w:rPr>
          <w:lang w:val="en-US"/>
        </w:rPr>
        <w:t xml:space="preserve"> is responsible for monitoring and supervision of the implementation of the law, which includes demanding explanations from companies and public offices that cannot achieve the objective. </w:t>
      </w:r>
    </w:p>
    <w:p w14:paraId="3A9CC58F" w14:textId="77777777" w:rsidR="000220E3" w:rsidRPr="006C5952" w:rsidRDefault="000220E3" w:rsidP="000220E3">
      <w:pPr>
        <w:rPr>
          <w:lang w:val="en-US"/>
        </w:rPr>
      </w:pPr>
    </w:p>
    <w:p w14:paraId="2B53D126" w14:textId="77777777" w:rsidR="000220E3" w:rsidRPr="0090746F" w:rsidRDefault="000220E3" w:rsidP="000220E3">
      <w:pPr>
        <w:pStyle w:val="Kommentartekst"/>
        <w:rPr>
          <w:sz w:val="32"/>
          <w:szCs w:val="32"/>
          <w:lang w:val="en-US"/>
        </w:rPr>
      </w:pPr>
      <w:r w:rsidRPr="0090746F">
        <w:rPr>
          <w:sz w:val="32"/>
          <w:szCs w:val="32"/>
          <w:lang w:val="en-US"/>
        </w:rPr>
        <w:t xml:space="preserve">Direct Request </w:t>
      </w:r>
      <w:r>
        <w:rPr>
          <w:sz w:val="32"/>
          <w:szCs w:val="32"/>
          <w:lang w:val="en-US"/>
        </w:rPr>
        <w:t>2</w:t>
      </w:r>
    </w:p>
    <w:p w14:paraId="498B5C3F" w14:textId="77777777" w:rsidR="000220E3" w:rsidRPr="006C5952" w:rsidRDefault="000220E3" w:rsidP="000220E3">
      <w:pPr>
        <w:rPr>
          <w:b/>
          <w:bCs/>
          <w:lang w:val="en-US"/>
        </w:rPr>
      </w:pPr>
      <w:r w:rsidRPr="006C5952">
        <w:rPr>
          <w:b/>
          <w:bCs/>
          <w:lang w:val="en-US"/>
        </w:rPr>
        <w:t>Guide on match grouping</w:t>
      </w:r>
    </w:p>
    <w:p w14:paraId="025EB4A2" w14:textId="77777777" w:rsidR="000220E3" w:rsidRPr="006C5952" w:rsidRDefault="000220E3" w:rsidP="000220E3">
      <w:pPr>
        <w:rPr>
          <w:lang w:val="en-US"/>
        </w:rPr>
      </w:pPr>
      <w:r w:rsidRPr="006C5952">
        <w:rPr>
          <w:lang w:val="en-US"/>
        </w:rPr>
        <w:t>In 2012, a guide "Guide on match grouping and registration of unemployed people" was developed to help the case managers how to categorize an unemployed citizen. The guide is designed to provide an aid to the labor supply and to strengthen the efforts aid the unemployed citizens. A key element of the guide is to divide unemployed citizens into three match groups.</w:t>
      </w:r>
    </w:p>
    <w:p w14:paraId="064452DE" w14:textId="77777777" w:rsidR="000220E3" w:rsidRPr="006C5952" w:rsidRDefault="000220E3" w:rsidP="000220E3">
      <w:pPr>
        <w:pStyle w:val="NormalWeb"/>
        <w:rPr>
          <w:rFonts w:asciiTheme="minorHAnsi" w:eastAsiaTheme="minorHAnsi" w:hAnsiTheme="minorHAnsi" w:cstheme="minorBidi"/>
          <w:sz w:val="22"/>
          <w:szCs w:val="22"/>
          <w:lang w:val="en-US" w:eastAsia="en-US"/>
        </w:rPr>
      </w:pPr>
      <w:r w:rsidRPr="006C5952">
        <w:rPr>
          <w:rFonts w:asciiTheme="minorHAnsi" w:eastAsiaTheme="minorHAnsi" w:hAnsiTheme="minorHAnsi" w:cstheme="minorBidi"/>
          <w:sz w:val="22"/>
          <w:szCs w:val="22"/>
          <w:lang w:val="en-US" w:eastAsia="en-US"/>
        </w:rPr>
        <w:t xml:space="preserve">One of the purposes of introducing a nationwide guide of a match grouping system is to gather data of the social, physical, and mental conditions of the unemployed population. The match grouping system is a method to categorize the unemployed citizens. The grouping system is a tool to create initiatives to help the unemployed return to the labor market. The grouping system provides data on the development of the individual citizen which can be used to evaluate employment-oriented programs. The guide is aimed at case managers who work with unemployed citizens who receive either unemployed benefits, rehabilitation, or salary that are in employment-oriented programs. The guide includes match grouping and registration. The match grouping of citizens occurs every 3 months, while registration of unemployed citizens takes place twice a month. </w:t>
      </w:r>
    </w:p>
    <w:p w14:paraId="66163EDF" w14:textId="77777777" w:rsidR="000220E3" w:rsidRDefault="000220E3" w:rsidP="000220E3">
      <w:pPr>
        <w:shd w:val="clear" w:color="auto" w:fill="FFFFFF"/>
        <w:spacing w:line="240" w:lineRule="auto"/>
        <w:rPr>
          <w:b/>
          <w:bCs/>
          <w:lang w:val="en-US"/>
        </w:rPr>
      </w:pPr>
    </w:p>
    <w:p w14:paraId="062BC1FB" w14:textId="080294E1" w:rsidR="000220E3" w:rsidRPr="0090746F" w:rsidRDefault="000220E3" w:rsidP="000220E3">
      <w:pPr>
        <w:shd w:val="clear" w:color="auto" w:fill="FFFFFF"/>
        <w:spacing w:line="240" w:lineRule="auto"/>
        <w:rPr>
          <w:b/>
          <w:bCs/>
          <w:lang w:val="en-US"/>
        </w:rPr>
      </w:pPr>
      <w:r w:rsidRPr="0090746F">
        <w:rPr>
          <w:b/>
          <w:bCs/>
          <w:lang w:val="en-US"/>
        </w:rPr>
        <w:t xml:space="preserve">Data gathering </w:t>
      </w:r>
    </w:p>
    <w:p w14:paraId="57BD6E8C" w14:textId="77777777" w:rsidR="000220E3" w:rsidRPr="006C5952" w:rsidRDefault="000220E3" w:rsidP="000220E3">
      <w:pPr>
        <w:spacing w:line="240" w:lineRule="auto"/>
        <w:rPr>
          <w:lang w:val="en-US"/>
        </w:rPr>
      </w:pPr>
      <w:r w:rsidRPr="006C5952">
        <w:rPr>
          <w:lang w:val="en-US"/>
        </w:rPr>
        <w:t>Labor market statistics are collected based on a series of administrative data that have been processed and gathered.</w:t>
      </w:r>
    </w:p>
    <w:p w14:paraId="1946E089" w14:textId="77777777" w:rsidR="000220E3" w:rsidRPr="006C5952" w:rsidRDefault="000220E3" w:rsidP="000220E3">
      <w:pPr>
        <w:spacing w:line="240" w:lineRule="auto"/>
        <w:rPr>
          <w:lang w:val="en-US"/>
        </w:rPr>
      </w:pPr>
      <w:r w:rsidRPr="006C5952">
        <w:rPr>
          <w:lang w:val="en-US"/>
        </w:rPr>
        <w:t>The main sources are the following:</w:t>
      </w:r>
    </w:p>
    <w:p w14:paraId="4F209507" w14:textId="77777777" w:rsidR="000220E3" w:rsidRPr="006C5952" w:rsidRDefault="000220E3" w:rsidP="000220E3">
      <w:pPr>
        <w:pStyle w:val="Listeafsnit"/>
        <w:numPr>
          <w:ilvl w:val="0"/>
          <w:numId w:val="6"/>
        </w:numPr>
        <w:spacing w:after="160" w:line="240" w:lineRule="auto"/>
        <w:rPr>
          <w:b/>
          <w:bCs/>
          <w:lang w:val="en-US"/>
        </w:rPr>
      </w:pPr>
      <w:r w:rsidRPr="006C5952">
        <w:rPr>
          <w:b/>
          <w:bCs/>
          <w:lang w:val="en-US"/>
        </w:rPr>
        <w:t>Monthly statements and monthly specifications</w:t>
      </w:r>
    </w:p>
    <w:p w14:paraId="3001FC4B" w14:textId="77777777" w:rsidR="000220E3" w:rsidRPr="006C5952" w:rsidRDefault="000220E3" w:rsidP="000220E3">
      <w:pPr>
        <w:pStyle w:val="Listeafsnit"/>
        <w:spacing w:line="240" w:lineRule="auto"/>
        <w:rPr>
          <w:lang w:val="en-US"/>
        </w:rPr>
      </w:pPr>
      <w:r w:rsidRPr="006C5952">
        <w:rPr>
          <w:lang w:val="en-US"/>
        </w:rPr>
        <w:t xml:space="preserve">The data source for the employment statistics are the so-called monthly reports and monthly specifications, which are derived from the companies' monthly reports to the Danish Tax Agency. The monthly statements contain the individual companies' total monthly wage expenses as well as how much is included in tax and labor market tax. In the monthly specifications, salaries and taxes from the companies are distributed to the individual employees. The monthly statements are company-oriented, while the monthly specifications are person-oriented, and the two statements are closely linked, which result in a reliable data source. </w:t>
      </w:r>
    </w:p>
    <w:p w14:paraId="57389F6A" w14:textId="77777777" w:rsidR="000220E3" w:rsidRPr="006C5952" w:rsidRDefault="000220E3" w:rsidP="000220E3">
      <w:pPr>
        <w:pStyle w:val="Listeafsnit"/>
        <w:spacing w:line="240" w:lineRule="auto"/>
        <w:rPr>
          <w:b/>
          <w:bCs/>
          <w:lang w:val="en-US"/>
        </w:rPr>
      </w:pPr>
    </w:p>
    <w:p w14:paraId="32487B01" w14:textId="77777777" w:rsidR="000220E3" w:rsidRPr="006C5952" w:rsidRDefault="000220E3" w:rsidP="000220E3">
      <w:pPr>
        <w:pStyle w:val="Listeafsnit"/>
        <w:numPr>
          <w:ilvl w:val="0"/>
          <w:numId w:val="6"/>
        </w:numPr>
        <w:spacing w:after="160" w:line="240" w:lineRule="auto"/>
        <w:rPr>
          <w:b/>
          <w:bCs/>
          <w:lang w:val="en-US"/>
        </w:rPr>
      </w:pPr>
      <w:r w:rsidRPr="006C5952">
        <w:rPr>
          <w:b/>
          <w:bCs/>
          <w:lang w:val="en-US"/>
        </w:rPr>
        <w:t>personal based registration of income</w:t>
      </w:r>
    </w:p>
    <w:p w14:paraId="21A39282" w14:textId="77777777" w:rsidR="000220E3" w:rsidRPr="006C5952" w:rsidRDefault="000220E3" w:rsidP="000220E3">
      <w:pPr>
        <w:pStyle w:val="Listeafsnit"/>
        <w:spacing w:line="240" w:lineRule="auto"/>
        <w:rPr>
          <w:lang w:val="en-US"/>
        </w:rPr>
      </w:pPr>
      <w:r w:rsidRPr="006C5952">
        <w:rPr>
          <w:lang w:val="en-US"/>
        </w:rPr>
        <w:t xml:space="preserve">However, the above sources do not cover all persons in employment data such as self-employment. To gather data on self-employment business, information is imported from tax income and business income from Greenland Statistics' personal income register over to personal based income. The personal based income statistics is based on the of the Danish Tax Agency's tax annual tax returns. </w:t>
      </w:r>
    </w:p>
    <w:p w14:paraId="1B384119" w14:textId="77777777" w:rsidR="000220E3" w:rsidRPr="006C5952" w:rsidRDefault="000220E3" w:rsidP="000220E3">
      <w:pPr>
        <w:pStyle w:val="Listeafsnit"/>
        <w:spacing w:line="240" w:lineRule="auto"/>
        <w:rPr>
          <w:b/>
          <w:bCs/>
          <w:lang w:val="en-US"/>
        </w:rPr>
      </w:pPr>
    </w:p>
    <w:p w14:paraId="58261494" w14:textId="77777777" w:rsidR="000220E3" w:rsidRPr="006C5952" w:rsidRDefault="000220E3" w:rsidP="000220E3">
      <w:pPr>
        <w:pStyle w:val="Listeafsnit"/>
        <w:numPr>
          <w:ilvl w:val="0"/>
          <w:numId w:val="6"/>
        </w:numPr>
        <w:spacing w:after="160" w:line="240" w:lineRule="auto"/>
        <w:rPr>
          <w:b/>
          <w:bCs/>
          <w:lang w:val="en-US"/>
        </w:rPr>
      </w:pPr>
      <w:r w:rsidRPr="006C5952">
        <w:rPr>
          <w:b/>
          <w:bCs/>
          <w:lang w:val="en-US"/>
        </w:rPr>
        <w:t xml:space="preserve">Municipal payments of income replacement benefits </w:t>
      </w:r>
    </w:p>
    <w:p w14:paraId="47F049F5" w14:textId="77777777" w:rsidR="000220E3" w:rsidRPr="006C5952" w:rsidRDefault="000220E3" w:rsidP="000220E3">
      <w:pPr>
        <w:pStyle w:val="Listeafsnit"/>
        <w:spacing w:line="240" w:lineRule="auto"/>
        <w:rPr>
          <w:lang w:val="en-US"/>
        </w:rPr>
      </w:pPr>
      <w:r w:rsidRPr="006C5952">
        <w:rPr>
          <w:lang w:val="en-US"/>
        </w:rPr>
        <w:t xml:space="preserve">Statistics Greenland's register of municipal payments of income-replacing benefits is crucial. The register makes it possible to sort the monthly specifications into payments that are not employment-related but an income-replacing benefits. This is providing a data source to find data regarding unemployment. </w:t>
      </w:r>
    </w:p>
    <w:p w14:paraId="68520DD3" w14:textId="77777777" w:rsidR="000220E3" w:rsidRPr="006C5952" w:rsidRDefault="000220E3" w:rsidP="000220E3">
      <w:pPr>
        <w:pStyle w:val="Listeafsnit"/>
        <w:spacing w:line="240" w:lineRule="auto"/>
        <w:rPr>
          <w:b/>
          <w:bCs/>
          <w:lang w:val="en-US"/>
        </w:rPr>
      </w:pPr>
    </w:p>
    <w:p w14:paraId="2EE93EFB" w14:textId="77777777" w:rsidR="000220E3" w:rsidRPr="006C5952" w:rsidRDefault="000220E3" w:rsidP="000220E3">
      <w:pPr>
        <w:pStyle w:val="Listeafsnit"/>
        <w:numPr>
          <w:ilvl w:val="0"/>
          <w:numId w:val="6"/>
        </w:numPr>
        <w:spacing w:after="160" w:line="240" w:lineRule="auto"/>
        <w:rPr>
          <w:b/>
          <w:bCs/>
          <w:lang w:val="en-US"/>
        </w:rPr>
      </w:pPr>
      <w:r w:rsidRPr="006C5952">
        <w:rPr>
          <w:b/>
          <w:bCs/>
          <w:lang w:val="en-US"/>
        </w:rPr>
        <w:t>The Central Business Register</w:t>
      </w:r>
    </w:p>
    <w:p w14:paraId="4521E92B" w14:textId="77777777" w:rsidR="000220E3" w:rsidRPr="006C5952" w:rsidRDefault="000220E3" w:rsidP="000220E3">
      <w:pPr>
        <w:pStyle w:val="Listeafsnit"/>
        <w:spacing w:line="240" w:lineRule="auto"/>
        <w:rPr>
          <w:b/>
          <w:bCs/>
          <w:lang w:val="en-US"/>
        </w:rPr>
      </w:pPr>
      <w:r w:rsidRPr="006C5952">
        <w:rPr>
          <w:lang w:val="en-US"/>
        </w:rPr>
        <w:t>With the help of the Central Business Register (CVR), it is possible to link industry information to the individual companies, and thus divide employment into business categories. In CVR, each registered company is assigned an industry based on the company's primary activity.</w:t>
      </w:r>
    </w:p>
    <w:p w14:paraId="40FAE320" w14:textId="77777777" w:rsidR="000220E3" w:rsidRPr="006C5952" w:rsidRDefault="000220E3" w:rsidP="000220E3">
      <w:pPr>
        <w:pStyle w:val="Listeafsnit"/>
        <w:spacing w:line="240" w:lineRule="auto"/>
        <w:rPr>
          <w:b/>
          <w:bCs/>
          <w:lang w:val="en-US"/>
        </w:rPr>
      </w:pPr>
    </w:p>
    <w:p w14:paraId="73E8078E" w14:textId="77777777" w:rsidR="000220E3" w:rsidRPr="006C5952" w:rsidRDefault="000220E3" w:rsidP="000220E3">
      <w:pPr>
        <w:pStyle w:val="Listeafsnit"/>
        <w:numPr>
          <w:ilvl w:val="0"/>
          <w:numId w:val="6"/>
        </w:numPr>
        <w:spacing w:after="160" w:line="240" w:lineRule="auto"/>
        <w:rPr>
          <w:b/>
          <w:bCs/>
          <w:lang w:val="en-US"/>
        </w:rPr>
      </w:pPr>
      <w:r w:rsidRPr="006C5952">
        <w:rPr>
          <w:b/>
          <w:bCs/>
          <w:lang w:val="en-US"/>
        </w:rPr>
        <w:t>Education register from Statistics Greenland</w:t>
      </w:r>
    </w:p>
    <w:p w14:paraId="2776D6FC" w14:textId="77777777" w:rsidR="000220E3" w:rsidRPr="006C5952" w:rsidRDefault="000220E3" w:rsidP="000220E3">
      <w:pPr>
        <w:pStyle w:val="Listeafsnit"/>
        <w:spacing w:line="240" w:lineRule="auto"/>
        <w:rPr>
          <w:lang w:val="en-US"/>
        </w:rPr>
      </w:pPr>
      <w:r w:rsidRPr="006C5952">
        <w:rPr>
          <w:lang w:val="en-US"/>
        </w:rPr>
        <w:t>Primarily based on registrations in the education support administration</w:t>
      </w:r>
    </w:p>
    <w:p w14:paraId="152259E4" w14:textId="77777777" w:rsidR="000220E3" w:rsidRPr="006C5952" w:rsidRDefault="000220E3" w:rsidP="000220E3">
      <w:pPr>
        <w:pStyle w:val="Listeafsnit"/>
        <w:spacing w:line="240" w:lineRule="auto"/>
        <w:rPr>
          <w:b/>
          <w:bCs/>
          <w:lang w:val="en-US"/>
        </w:rPr>
      </w:pPr>
    </w:p>
    <w:p w14:paraId="61DF3939" w14:textId="77777777" w:rsidR="000220E3" w:rsidRPr="006C5952" w:rsidRDefault="000220E3" w:rsidP="000220E3">
      <w:pPr>
        <w:pStyle w:val="Listeafsnit"/>
        <w:numPr>
          <w:ilvl w:val="0"/>
          <w:numId w:val="6"/>
        </w:numPr>
        <w:spacing w:after="160" w:line="240" w:lineRule="auto"/>
        <w:rPr>
          <w:b/>
          <w:bCs/>
          <w:lang w:val="en-US"/>
        </w:rPr>
      </w:pPr>
      <w:r w:rsidRPr="006C5952">
        <w:rPr>
          <w:b/>
          <w:bCs/>
          <w:lang w:val="en-US"/>
        </w:rPr>
        <w:t xml:space="preserve">Population register Statistics </w:t>
      </w:r>
      <w:proofErr w:type="gramStart"/>
      <w:r w:rsidRPr="006C5952">
        <w:rPr>
          <w:b/>
          <w:bCs/>
          <w:lang w:val="en-US"/>
        </w:rPr>
        <w:t>Greenland</w:t>
      </w:r>
      <w:proofErr w:type="gramEnd"/>
    </w:p>
    <w:p w14:paraId="4BA31ECA" w14:textId="77777777" w:rsidR="000220E3" w:rsidRPr="006C5952" w:rsidRDefault="000220E3" w:rsidP="000220E3">
      <w:pPr>
        <w:pStyle w:val="Listeafsnit"/>
        <w:spacing w:line="240" w:lineRule="auto"/>
        <w:rPr>
          <w:lang w:val="en-US"/>
        </w:rPr>
      </w:pPr>
      <w:r w:rsidRPr="006C5952">
        <w:rPr>
          <w:lang w:val="en-US"/>
        </w:rPr>
        <w:t>Primarily based on extracts from CPR register.</w:t>
      </w:r>
    </w:p>
    <w:p w14:paraId="4BE1187A" w14:textId="77777777" w:rsidR="000220E3" w:rsidRPr="006C5952" w:rsidRDefault="000220E3" w:rsidP="000220E3">
      <w:pPr>
        <w:pStyle w:val="Listeafsnit"/>
        <w:spacing w:line="240" w:lineRule="auto"/>
        <w:rPr>
          <w:b/>
          <w:bCs/>
          <w:lang w:val="en-US"/>
        </w:rPr>
      </w:pPr>
    </w:p>
    <w:p w14:paraId="1574EC25" w14:textId="77777777" w:rsidR="000220E3" w:rsidRPr="006C5952" w:rsidRDefault="000220E3" w:rsidP="000220E3">
      <w:pPr>
        <w:pStyle w:val="Listeafsnit"/>
        <w:numPr>
          <w:ilvl w:val="0"/>
          <w:numId w:val="6"/>
        </w:numPr>
        <w:spacing w:after="160" w:line="240" w:lineRule="auto"/>
        <w:rPr>
          <w:b/>
          <w:bCs/>
          <w:lang w:val="en-US"/>
        </w:rPr>
      </w:pPr>
      <w:r w:rsidRPr="006C5952">
        <w:rPr>
          <w:b/>
          <w:bCs/>
          <w:lang w:val="en-US"/>
        </w:rPr>
        <w:t>Municipalities' registration of jobseekers</w:t>
      </w:r>
    </w:p>
    <w:p w14:paraId="41940987" w14:textId="77777777" w:rsidR="000220E3" w:rsidRPr="006C5952" w:rsidRDefault="000220E3" w:rsidP="000220E3">
      <w:pPr>
        <w:pStyle w:val="Listeafsnit"/>
        <w:spacing w:line="240" w:lineRule="auto"/>
        <w:rPr>
          <w:b/>
          <w:bCs/>
          <w:lang w:val="en-US"/>
        </w:rPr>
      </w:pPr>
      <w:r w:rsidRPr="006C5952">
        <w:rPr>
          <w:lang w:val="en-US"/>
        </w:rPr>
        <w:t>The local registrations of citizens who have applied to a municipal labor market office as a jobseeker.</w:t>
      </w:r>
    </w:p>
    <w:p w14:paraId="673E61D3" w14:textId="77777777" w:rsidR="000220E3" w:rsidRPr="006C5952" w:rsidRDefault="000220E3" w:rsidP="000220E3">
      <w:pPr>
        <w:shd w:val="clear" w:color="auto" w:fill="FFFFFF"/>
        <w:spacing w:line="240" w:lineRule="auto"/>
        <w:rPr>
          <w:rFonts w:ascii="Georgia" w:eastAsia="Times New Roman" w:hAnsi="Georgia"/>
          <w:b/>
          <w:bCs/>
          <w:i/>
          <w:iCs/>
          <w:color w:val="333333"/>
          <w:sz w:val="18"/>
          <w:szCs w:val="18"/>
          <w:lang w:val="en-US" w:eastAsia="kl-GL"/>
        </w:rPr>
      </w:pPr>
    </w:p>
    <w:p w14:paraId="5F3BB710" w14:textId="77777777" w:rsidR="000220E3" w:rsidRPr="0090746F" w:rsidRDefault="000220E3" w:rsidP="000220E3">
      <w:pPr>
        <w:shd w:val="clear" w:color="auto" w:fill="FFFFFF"/>
        <w:spacing w:line="240" w:lineRule="auto"/>
        <w:rPr>
          <w:rFonts w:ascii="Georgia" w:eastAsia="Times New Roman" w:hAnsi="Georgia"/>
          <w:b/>
          <w:bCs/>
          <w:color w:val="333333"/>
          <w:sz w:val="18"/>
          <w:szCs w:val="18"/>
          <w:lang w:val="en-US" w:eastAsia="kl-GL"/>
        </w:rPr>
      </w:pPr>
      <w:r w:rsidRPr="0090746F">
        <w:rPr>
          <w:rFonts w:ascii="Georgia" w:eastAsia="Times New Roman" w:hAnsi="Georgia"/>
          <w:b/>
          <w:bCs/>
          <w:color w:val="333333"/>
          <w:sz w:val="18"/>
          <w:szCs w:val="18"/>
          <w:lang w:val="en-US" w:eastAsia="kl-GL"/>
        </w:rPr>
        <w:t>IT-Reg</w:t>
      </w:r>
    </w:p>
    <w:p w14:paraId="10EAD1BC" w14:textId="77777777" w:rsidR="000220E3" w:rsidRPr="006C5952" w:rsidRDefault="000220E3" w:rsidP="000220E3">
      <w:pPr>
        <w:rPr>
          <w:lang w:val="en-US"/>
        </w:rPr>
      </w:pPr>
      <w:r w:rsidRPr="006C5952">
        <w:rPr>
          <w:lang w:val="en-US"/>
        </w:rPr>
        <w:t xml:space="preserve">To maintain an updated knowledge of the Greenlandic labor market, the Department for Labor continuously collects and draws data from IT-systems such as IT-reg. IT-reg is a management system owned by the Government of Greenland and managed by the Department of Labor, in cooperation with the </w:t>
      </w:r>
      <w:proofErr w:type="spellStart"/>
      <w:r w:rsidRPr="006C5952">
        <w:rPr>
          <w:lang w:val="en-US"/>
        </w:rPr>
        <w:t>Majoriaq</w:t>
      </w:r>
      <w:proofErr w:type="spellEnd"/>
      <w:r w:rsidRPr="006C5952">
        <w:rPr>
          <w:lang w:val="en-US"/>
        </w:rPr>
        <w:t xml:space="preserve"> centers. The primary purpose of IT-reg system is registration and management of unemployment, registering job openings on Suli.gl and employment profiles. Furthermore, the </w:t>
      </w:r>
      <w:proofErr w:type="spellStart"/>
      <w:r w:rsidRPr="006C5952">
        <w:rPr>
          <w:lang w:val="en-US"/>
        </w:rPr>
        <w:t>Majoriaq</w:t>
      </w:r>
      <w:proofErr w:type="spellEnd"/>
      <w:r w:rsidRPr="006C5952">
        <w:rPr>
          <w:lang w:val="en-US"/>
        </w:rPr>
        <w:t xml:space="preserve"> centers use IT-reg for course offerings, educational registration and the creation and maintenance of action plans for their unemployed citizens.</w:t>
      </w:r>
    </w:p>
    <w:p w14:paraId="1B7CC283" w14:textId="77777777" w:rsidR="000220E3" w:rsidRDefault="000220E3" w:rsidP="000220E3">
      <w:pPr>
        <w:pStyle w:val="Kommentartekst"/>
        <w:rPr>
          <w:sz w:val="32"/>
          <w:szCs w:val="32"/>
          <w:lang w:val="en-US"/>
        </w:rPr>
      </w:pPr>
    </w:p>
    <w:p w14:paraId="1C3ECB52" w14:textId="77777777" w:rsidR="000220E3" w:rsidRDefault="000220E3" w:rsidP="000220E3">
      <w:pPr>
        <w:pStyle w:val="Kommentartekst"/>
        <w:rPr>
          <w:sz w:val="32"/>
          <w:szCs w:val="32"/>
          <w:lang w:val="en-US"/>
        </w:rPr>
      </w:pPr>
    </w:p>
    <w:p w14:paraId="300AD751" w14:textId="77777777" w:rsidR="000220E3" w:rsidRDefault="000220E3" w:rsidP="000220E3">
      <w:pPr>
        <w:pStyle w:val="Kommentartekst"/>
        <w:rPr>
          <w:sz w:val="32"/>
          <w:szCs w:val="32"/>
          <w:lang w:val="en-US"/>
        </w:rPr>
      </w:pPr>
    </w:p>
    <w:p w14:paraId="32A0AD35" w14:textId="77777777" w:rsidR="000220E3" w:rsidRDefault="000220E3" w:rsidP="000220E3">
      <w:pPr>
        <w:pStyle w:val="Kommentartekst"/>
        <w:rPr>
          <w:sz w:val="32"/>
          <w:szCs w:val="32"/>
          <w:lang w:val="en-US"/>
        </w:rPr>
      </w:pPr>
    </w:p>
    <w:p w14:paraId="2AF2FFB1" w14:textId="7E76E79F" w:rsidR="000220E3" w:rsidRPr="0090746F" w:rsidRDefault="000220E3" w:rsidP="000220E3">
      <w:pPr>
        <w:pStyle w:val="Kommentartekst"/>
        <w:rPr>
          <w:sz w:val="32"/>
          <w:szCs w:val="32"/>
          <w:lang w:val="en-US"/>
        </w:rPr>
      </w:pPr>
      <w:r w:rsidRPr="0090746F">
        <w:rPr>
          <w:sz w:val="32"/>
          <w:szCs w:val="32"/>
          <w:lang w:val="en-US"/>
        </w:rPr>
        <w:lastRenderedPageBreak/>
        <w:t xml:space="preserve">Direct Request </w:t>
      </w:r>
      <w:r>
        <w:rPr>
          <w:sz w:val="32"/>
          <w:szCs w:val="32"/>
          <w:lang w:val="en-US"/>
        </w:rPr>
        <w:t>2.1</w:t>
      </w:r>
    </w:p>
    <w:p w14:paraId="4747E4CB" w14:textId="77777777" w:rsidR="000220E3" w:rsidRPr="0090746F" w:rsidRDefault="000220E3" w:rsidP="000220E3">
      <w:pPr>
        <w:shd w:val="clear" w:color="auto" w:fill="FFFFFF"/>
        <w:spacing w:line="240" w:lineRule="auto"/>
        <w:rPr>
          <w:rFonts w:ascii="Georgia" w:eastAsia="Times New Roman" w:hAnsi="Georgia"/>
          <w:color w:val="333333"/>
          <w:sz w:val="18"/>
          <w:szCs w:val="18"/>
          <w:lang w:val="en-US" w:eastAsia="kl-GL"/>
        </w:rPr>
      </w:pPr>
      <w:r w:rsidRPr="0090746F">
        <w:rPr>
          <w:rFonts w:ascii="Georgia" w:eastAsia="Times New Roman" w:hAnsi="Georgia"/>
          <w:b/>
          <w:bCs/>
          <w:color w:val="333333"/>
          <w:sz w:val="18"/>
          <w:szCs w:val="18"/>
          <w:lang w:val="en-US" w:eastAsia="kl-GL"/>
        </w:rPr>
        <w:t xml:space="preserve">Improvement of </w:t>
      </w:r>
      <w:proofErr w:type="spellStart"/>
      <w:r w:rsidRPr="0090746F">
        <w:rPr>
          <w:rFonts w:ascii="Georgia" w:eastAsia="Times New Roman" w:hAnsi="Georgia"/>
          <w:b/>
          <w:bCs/>
          <w:color w:val="333333"/>
          <w:sz w:val="18"/>
          <w:szCs w:val="18"/>
          <w:lang w:val="en-US" w:eastAsia="kl-GL"/>
        </w:rPr>
        <w:t>Majoriaq</w:t>
      </w:r>
      <w:proofErr w:type="spellEnd"/>
    </w:p>
    <w:p w14:paraId="2C212221" w14:textId="77777777" w:rsidR="000220E3" w:rsidRPr="006C5952" w:rsidRDefault="000220E3" w:rsidP="000220E3">
      <w:pPr>
        <w:rPr>
          <w:lang w:val="en-US"/>
        </w:rPr>
      </w:pPr>
      <w:r w:rsidRPr="006C5952">
        <w:rPr>
          <w:lang w:val="en-US"/>
        </w:rPr>
        <w:t xml:space="preserve">In 2019, the Department of Social Affairs and </w:t>
      </w:r>
      <w:proofErr w:type="spellStart"/>
      <w:r w:rsidRPr="006C5952">
        <w:rPr>
          <w:lang w:val="en-US"/>
        </w:rPr>
        <w:t>Labour</w:t>
      </w:r>
      <w:proofErr w:type="spellEnd"/>
      <w:r w:rsidRPr="006C5952">
        <w:rPr>
          <w:lang w:val="en-US"/>
        </w:rPr>
        <w:t xml:space="preserve"> entered a partnership with </w:t>
      </w:r>
      <w:proofErr w:type="spellStart"/>
      <w:r w:rsidRPr="006C5952">
        <w:rPr>
          <w:lang w:val="en-US"/>
        </w:rPr>
        <w:t>Niuernermik</w:t>
      </w:r>
      <w:proofErr w:type="spellEnd"/>
      <w:r w:rsidRPr="006C5952">
        <w:rPr>
          <w:lang w:val="en-US"/>
        </w:rPr>
        <w:t xml:space="preserve"> </w:t>
      </w:r>
      <w:proofErr w:type="spellStart"/>
      <w:r w:rsidRPr="006C5952">
        <w:rPr>
          <w:lang w:val="en-US"/>
        </w:rPr>
        <w:t>Ilinniarfik</w:t>
      </w:r>
      <w:proofErr w:type="spellEnd"/>
      <w:r w:rsidRPr="006C5952">
        <w:rPr>
          <w:lang w:val="en-US"/>
        </w:rPr>
        <w:t xml:space="preserve"> on the development and execution of a new educational program for the consultants in </w:t>
      </w:r>
      <w:proofErr w:type="spellStart"/>
      <w:r w:rsidRPr="006C5952">
        <w:rPr>
          <w:lang w:val="en-US"/>
        </w:rPr>
        <w:t>Majoriaq</w:t>
      </w:r>
      <w:proofErr w:type="spellEnd"/>
      <w:r w:rsidRPr="006C5952">
        <w:rPr>
          <w:lang w:val="en-US"/>
        </w:rPr>
        <w:t xml:space="preserve">. The educational program consists of a link between theory, legislation, and </w:t>
      </w:r>
      <w:proofErr w:type="spellStart"/>
      <w:r w:rsidRPr="006C5952">
        <w:rPr>
          <w:lang w:val="en-US"/>
        </w:rPr>
        <w:t>Majoriaq's</w:t>
      </w:r>
      <w:proofErr w:type="spellEnd"/>
      <w:r w:rsidRPr="006C5952">
        <w:rPr>
          <w:lang w:val="en-US"/>
        </w:rPr>
        <w:t xml:space="preserve"> guidelines and everyday practices the educational program consists of a link between theory, legislation, and </w:t>
      </w:r>
      <w:proofErr w:type="spellStart"/>
      <w:r w:rsidRPr="006C5952">
        <w:rPr>
          <w:lang w:val="en-US"/>
        </w:rPr>
        <w:t>Majoriaq's</w:t>
      </w:r>
      <w:proofErr w:type="spellEnd"/>
      <w:r w:rsidRPr="006C5952">
        <w:rPr>
          <w:lang w:val="en-US"/>
        </w:rPr>
        <w:t xml:space="preserve"> guidelines and everyday practices. The educational program is run over a period of 18 months and consists of 4 modules of 8 days, and an internship in a municipality and 5 online courses in between the modules. After each module, the participants must submit a task to get access to the next module, and the program ends with the examination, based on cases that relates to real issues in </w:t>
      </w:r>
      <w:proofErr w:type="spellStart"/>
      <w:r w:rsidRPr="006C5952">
        <w:rPr>
          <w:lang w:val="en-US"/>
        </w:rPr>
        <w:t>Majoriaq</w:t>
      </w:r>
      <w:proofErr w:type="spellEnd"/>
      <w:r w:rsidRPr="006C5952">
        <w:rPr>
          <w:lang w:val="en-US"/>
        </w:rPr>
        <w:t xml:space="preserve">. The program aims to strengthen and upskills the employees at </w:t>
      </w:r>
      <w:proofErr w:type="spellStart"/>
      <w:r w:rsidRPr="006C5952">
        <w:rPr>
          <w:lang w:val="en-US"/>
        </w:rPr>
        <w:t>Majoriaq</w:t>
      </w:r>
      <w:proofErr w:type="spellEnd"/>
      <w:r w:rsidRPr="006C5952">
        <w:rPr>
          <w:lang w:val="en-US"/>
        </w:rPr>
        <w:t xml:space="preserve"> and is custom-made to labor-market consultants, job-consultants and clerks that have contact to citizen. The aim of the training is to improve the general case management and equip the employees to be able to handle the many requirements and ensure citizens a good and consistent service at all </w:t>
      </w:r>
      <w:proofErr w:type="spellStart"/>
      <w:r w:rsidRPr="006C5952">
        <w:rPr>
          <w:lang w:val="en-US"/>
        </w:rPr>
        <w:t>Majoriaq</w:t>
      </w:r>
      <w:proofErr w:type="spellEnd"/>
      <w:r w:rsidRPr="006C5952">
        <w:rPr>
          <w:lang w:val="en-US"/>
        </w:rPr>
        <w:t xml:space="preserve"> centers. The program is taught in Greenlandic and Danish and reading material is available in both languages ​​and assignments can also be provided in both languages.</w:t>
      </w:r>
    </w:p>
    <w:p w14:paraId="0E27126D" w14:textId="77777777" w:rsidR="000220E3" w:rsidRPr="006C5952" w:rsidRDefault="000220E3" w:rsidP="000220E3">
      <w:pPr>
        <w:rPr>
          <w:lang w:val="en-US"/>
        </w:rPr>
      </w:pPr>
      <w:r w:rsidRPr="006C5952">
        <w:rPr>
          <w:lang w:val="en-US"/>
        </w:rPr>
        <w:t>Since 1. January 2016- The Act of. 28 of 9. December 2015 concerning job-, guidance– and upskilling centers has been in place. The Act has basically four main points.</w:t>
      </w:r>
    </w:p>
    <w:p w14:paraId="0BFA8930" w14:textId="77777777" w:rsidR="000220E3" w:rsidRPr="006C5952" w:rsidRDefault="000220E3" w:rsidP="000220E3">
      <w:pPr>
        <w:pStyle w:val="Listeafsnit"/>
        <w:numPr>
          <w:ilvl w:val="0"/>
          <w:numId w:val="4"/>
        </w:numPr>
        <w:spacing w:after="160" w:line="256" w:lineRule="auto"/>
        <w:rPr>
          <w:lang w:val="en-US"/>
        </w:rPr>
      </w:pPr>
      <w:r w:rsidRPr="006C5952">
        <w:rPr>
          <w:lang w:val="en-US"/>
        </w:rPr>
        <w:t>Each municipality must set up one job, guidance, and upskilling center in each city within the municipality´s area. These job, guidance and upskilling centers are responsible for providing free of charge services to promote the development of the labor market which includes, find jobs for jobseekers, provide guidance for education, create match groupings, and register the unemployed, design rehabilitation plans, examine applications for mobility services, as well as process applications from employers from foreign countries.</w:t>
      </w:r>
    </w:p>
    <w:p w14:paraId="256DA2A6" w14:textId="77777777" w:rsidR="000220E3" w:rsidRPr="006C5952" w:rsidRDefault="000220E3" w:rsidP="000220E3">
      <w:pPr>
        <w:pStyle w:val="Listeafsnit"/>
        <w:numPr>
          <w:ilvl w:val="0"/>
          <w:numId w:val="4"/>
        </w:numPr>
        <w:spacing w:after="160" w:line="256" w:lineRule="auto"/>
        <w:rPr>
          <w:lang w:val="en-US"/>
        </w:rPr>
      </w:pPr>
      <w:r w:rsidRPr="006C5952">
        <w:rPr>
          <w:lang w:val="en-US"/>
        </w:rPr>
        <w:t xml:space="preserve">The municipal council shall ensure that the job, guidance, and upskilling centers are served by qualified professional staff. The staff must be approved by </w:t>
      </w:r>
      <w:proofErr w:type="spellStart"/>
      <w:r w:rsidRPr="006C5952">
        <w:rPr>
          <w:lang w:val="en-US"/>
        </w:rPr>
        <w:t>Naalakkersuisut</w:t>
      </w:r>
      <w:proofErr w:type="spellEnd"/>
      <w:r w:rsidRPr="006C5952">
        <w:rPr>
          <w:lang w:val="en-US"/>
        </w:rPr>
        <w:t xml:space="preserve"> or provide proof of an equivalent level of professional competence. The municipal council shall ensure that all relevant and necessary information can be exchanged to carry out the tasks of job, guidance, and upskilling centers.</w:t>
      </w:r>
    </w:p>
    <w:p w14:paraId="7A057439" w14:textId="77777777" w:rsidR="000220E3" w:rsidRPr="006C5952" w:rsidRDefault="000220E3" w:rsidP="000220E3">
      <w:pPr>
        <w:pStyle w:val="Listeafsnit"/>
        <w:numPr>
          <w:ilvl w:val="0"/>
          <w:numId w:val="4"/>
        </w:numPr>
        <w:spacing w:after="160" w:line="256" w:lineRule="auto"/>
        <w:rPr>
          <w:lang w:val="en-US"/>
        </w:rPr>
      </w:pPr>
      <w:proofErr w:type="spellStart"/>
      <w:r w:rsidRPr="006C5952">
        <w:rPr>
          <w:lang w:val="en-US"/>
        </w:rPr>
        <w:t>Naalakkersuisut</w:t>
      </w:r>
      <w:proofErr w:type="spellEnd"/>
      <w:r w:rsidRPr="006C5952">
        <w:rPr>
          <w:lang w:val="en-US"/>
        </w:rPr>
        <w:t xml:space="preserve"> oversees the work of the centers. The centers must report statistical information using the official government form and following the governmental rules for reporting.</w:t>
      </w:r>
    </w:p>
    <w:p w14:paraId="3E489835" w14:textId="77777777" w:rsidR="000220E3" w:rsidRPr="006C5952" w:rsidRDefault="000220E3" w:rsidP="000220E3">
      <w:pPr>
        <w:pStyle w:val="Listeafsnit"/>
        <w:numPr>
          <w:ilvl w:val="0"/>
          <w:numId w:val="4"/>
        </w:numPr>
        <w:spacing w:after="160" w:line="256" w:lineRule="auto"/>
        <w:rPr>
          <w:lang w:val="en-US"/>
        </w:rPr>
      </w:pPr>
      <w:proofErr w:type="spellStart"/>
      <w:r w:rsidRPr="006C5952">
        <w:rPr>
          <w:lang w:val="en-US"/>
        </w:rPr>
        <w:t>Naalakkersuisut</w:t>
      </w:r>
      <w:proofErr w:type="spellEnd"/>
      <w:r w:rsidRPr="006C5952">
        <w:rPr>
          <w:lang w:val="en-US"/>
        </w:rPr>
        <w:t xml:space="preserve"> enters a performance contract with the Municipal Council which sets detailed goals for their Job, Guidance and Upskilling centers. In this performance contract </w:t>
      </w:r>
      <w:proofErr w:type="spellStart"/>
      <w:r w:rsidRPr="006C5952">
        <w:rPr>
          <w:lang w:val="en-US"/>
        </w:rPr>
        <w:t>Naalakkersuisut</w:t>
      </w:r>
      <w:proofErr w:type="spellEnd"/>
      <w:r w:rsidRPr="006C5952">
        <w:rPr>
          <w:lang w:val="en-US"/>
        </w:rPr>
        <w:t xml:space="preserve"> may reduce the funds allocated to each municipality if job guidance and upskilling centers in municipal council does not meet the conditions of the service agreement</w:t>
      </w:r>
      <w:r w:rsidRPr="006C5952">
        <w:rPr>
          <w:color w:val="31495B"/>
          <w:sz w:val="21"/>
          <w:szCs w:val="21"/>
          <w:lang w:val="en-US"/>
        </w:rPr>
        <w:t>.</w:t>
      </w:r>
    </w:p>
    <w:bookmarkEnd w:id="0"/>
    <w:p w14:paraId="0203F982" w14:textId="77777777" w:rsidR="000220E3" w:rsidRPr="006C5952" w:rsidRDefault="000220E3" w:rsidP="000220E3">
      <w:pPr>
        <w:rPr>
          <w:lang w:val="en-US"/>
        </w:rPr>
      </w:pPr>
    </w:p>
    <w:p w14:paraId="6D8791F1" w14:textId="77777777" w:rsidR="000220E3" w:rsidRDefault="000220E3" w:rsidP="000220E3">
      <w:pPr>
        <w:pStyle w:val="Kommentartekst"/>
        <w:rPr>
          <w:sz w:val="32"/>
          <w:szCs w:val="32"/>
          <w:lang w:val="en-US"/>
        </w:rPr>
      </w:pPr>
    </w:p>
    <w:p w14:paraId="04F6C0B8" w14:textId="77777777" w:rsidR="000220E3" w:rsidRDefault="000220E3" w:rsidP="000220E3">
      <w:pPr>
        <w:pStyle w:val="Kommentartekst"/>
        <w:rPr>
          <w:sz w:val="32"/>
          <w:szCs w:val="32"/>
          <w:lang w:val="en-US"/>
        </w:rPr>
      </w:pPr>
    </w:p>
    <w:p w14:paraId="79258F75" w14:textId="77777777" w:rsidR="000220E3" w:rsidRDefault="000220E3" w:rsidP="000220E3">
      <w:pPr>
        <w:pStyle w:val="Kommentartekst"/>
        <w:rPr>
          <w:sz w:val="32"/>
          <w:szCs w:val="32"/>
          <w:lang w:val="en-US"/>
        </w:rPr>
      </w:pPr>
    </w:p>
    <w:p w14:paraId="6AF7FAA1" w14:textId="59219A34" w:rsidR="000220E3" w:rsidRPr="0090746F" w:rsidRDefault="000220E3" w:rsidP="000220E3">
      <w:pPr>
        <w:pStyle w:val="Kommentartekst"/>
        <w:rPr>
          <w:sz w:val="32"/>
          <w:szCs w:val="32"/>
          <w:lang w:val="en-US"/>
        </w:rPr>
      </w:pPr>
      <w:r w:rsidRPr="0090746F">
        <w:rPr>
          <w:sz w:val="32"/>
          <w:szCs w:val="32"/>
          <w:lang w:val="en-US"/>
        </w:rPr>
        <w:lastRenderedPageBreak/>
        <w:t xml:space="preserve">Direct Request </w:t>
      </w:r>
      <w:r>
        <w:rPr>
          <w:sz w:val="32"/>
          <w:szCs w:val="32"/>
          <w:lang w:val="en-US"/>
        </w:rPr>
        <w:t>3</w:t>
      </w:r>
    </w:p>
    <w:p w14:paraId="4656F011" w14:textId="77777777" w:rsidR="000220E3" w:rsidRPr="006C5952" w:rsidRDefault="000220E3" w:rsidP="000220E3">
      <w:pPr>
        <w:rPr>
          <w:lang w:val="en-US"/>
        </w:rPr>
      </w:pPr>
      <w:r w:rsidRPr="006C5952">
        <w:rPr>
          <w:lang w:val="en-US"/>
        </w:rPr>
        <w:t xml:space="preserve">The labor market in Greenland is regulated through collective agreements between the social partners. </w:t>
      </w:r>
    </w:p>
    <w:p w14:paraId="1044A681" w14:textId="77777777" w:rsidR="000220E3" w:rsidRPr="006C5952" w:rsidRDefault="000220E3" w:rsidP="000220E3">
      <w:pPr>
        <w:pStyle w:val="Default"/>
        <w:rPr>
          <w:rFonts w:asciiTheme="minorHAnsi" w:eastAsiaTheme="minorEastAsia" w:hAnsiTheme="minorHAnsi" w:cs="Calibri"/>
          <w:color w:val="000000" w:themeColor="text1"/>
          <w:sz w:val="22"/>
          <w:szCs w:val="22"/>
          <w:lang w:val="en-US"/>
        </w:rPr>
      </w:pPr>
      <w:r w:rsidRPr="006C5952">
        <w:rPr>
          <w:rFonts w:asciiTheme="minorHAnsi" w:eastAsiaTheme="minorEastAsia" w:hAnsiTheme="minorHAnsi" w:cs="Calibri"/>
          <w:color w:val="000000" w:themeColor="text1"/>
          <w:sz w:val="22"/>
          <w:szCs w:val="22"/>
          <w:lang w:val="en-US"/>
        </w:rPr>
        <w:t>The Government of Greenland has taken the initiative to establish an ILO committee. The purpose of the committee is to coordinate and promote cooperation in the labor market in relation to the ILO conventions. The ILO committee will meet at least once a year. In addition to the permanent members, special guest will be invited if needed.</w:t>
      </w:r>
    </w:p>
    <w:p w14:paraId="34B44CAD" w14:textId="77777777" w:rsidR="000220E3" w:rsidRPr="006C5952" w:rsidRDefault="000220E3" w:rsidP="000220E3">
      <w:pPr>
        <w:pStyle w:val="Default"/>
        <w:rPr>
          <w:rFonts w:asciiTheme="minorHAnsi" w:eastAsiaTheme="minorEastAsia" w:hAnsiTheme="minorHAnsi" w:cs="Calibri"/>
          <w:color w:val="000000" w:themeColor="text1"/>
          <w:sz w:val="22"/>
          <w:szCs w:val="22"/>
          <w:lang w:val="en-US"/>
        </w:rPr>
      </w:pPr>
    </w:p>
    <w:p w14:paraId="03EE49F7" w14:textId="77777777" w:rsidR="000220E3" w:rsidRPr="006C5952" w:rsidRDefault="000220E3" w:rsidP="000220E3">
      <w:pPr>
        <w:pStyle w:val="Default"/>
        <w:rPr>
          <w:rFonts w:asciiTheme="minorHAnsi" w:eastAsiaTheme="minorEastAsia" w:hAnsiTheme="minorHAnsi" w:cs="Calibri"/>
          <w:color w:val="000000" w:themeColor="text1"/>
          <w:sz w:val="22"/>
          <w:szCs w:val="22"/>
          <w:lang w:val="en-US"/>
        </w:rPr>
      </w:pPr>
      <w:r w:rsidRPr="006C5952">
        <w:rPr>
          <w:rFonts w:asciiTheme="minorHAnsi" w:eastAsiaTheme="minorEastAsia" w:hAnsiTheme="minorHAnsi" w:cs="Calibri"/>
          <w:color w:val="000000" w:themeColor="text1"/>
          <w:sz w:val="22"/>
          <w:szCs w:val="22"/>
          <w:lang w:val="en-US"/>
        </w:rPr>
        <w:t>The first meeting of the ILO Committee was held on the 02. of December 2020.</w:t>
      </w:r>
    </w:p>
    <w:p w14:paraId="67983649" w14:textId="77777777" w:rsidR="000220E3" w:rsidRPr="006C5952" w:rsidRDefault="000220E3" w:rsidP="000220E3">
      <w:pPr>
        <w:pStyle w:val="Default"/>
        <w:rPr>
          <w:rFonts w:asciiTheme="minorHAnsi" w:eastAsiaTheme="minorEastAsia" w:hAnsiTheme="minorHAnsi" w:cs="Calibri"/>
          <w:color w:val="000000" w:themeColor="text1"/>
          <w:sz w:val="22"/>
          <w:szCs w:val="22"/>
          <w:lang w:val="en-US"/>
        </w:rPr>
      </w:pPr>
      <w:r w:rsidRPr="006C5952">
        <w:rPr>
          <w:rFonts w:asciiTheme="minorHAnsi" w:eastAsiaTheme="minorEastAsia" w:hAnsiTheme="minorHAnsi" w:cs="Calibri"/>
          <w:color w:val="000000" w:themeColor="text1"/>
          <w:sz w:val="22"/>
          <w:szCs w:val="22"/>
          <w:lang w:val="en-US"/>
        </w:rPr>
        <w:t xml:space="preserve">Participants: </w:t>
      </w:r>
    </w:p>
    <w:p w14:paraId="55677924" w14:textId="77777777" w:rsidR="000220E3" w:rsidRPr="006C5952" w:rsidRDefault="000220E3" w:rsidP="000220E3">
      <w:pPr>
        <w:pStyle w:val="Default"/>
        <w:rPr>
          <w:rFonts w:asciiTheme="minorHAnsi" w:eastAsiaTheme="minorEastAsia" w:hAnsiTheme="minorHAnsi" w:cs="Calibri"/>
          <w:color w:val="000000" w:themeColor="text1"/>
          <w:sz w:val="22"/>
          <w:szCs w:val="22"/>
          <w:lang w:val="en-US"/>
        </w:rPr>
      </w:pPr>
    </w:p>
    <w:p w14:paraId="7D9F461F" w14:textId="77777777" w:rsidR="000220E3" w:rsidRPr="006C5952" w:rsidRDefault="000220E3" w:rsidP="000220E3">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Head of Secretariat. </w:t>
      </w:r>
      <w:proofErr w:type="spellStart"/>
      <w:r w:rsidRPr="006C5952">
        <w:rPr>
          <w:rFonts w:eastAsiaTheme="minorEastAsia" w:cs="Calibri"/>
          <w:i/>
          <w:iCs/>
          <w:color w:val="000000" w:themeColor="text1"/>
          <w:lang w:val="en-US"/>
        </w:rPr>
        <w:t>Karsten</w:t>
      </w:r>
      <w:proofErr w:type="spellEnd"/>
      <w:r w:rsidRPr="006C5952">
        <w:rPr>
          <w:rFonts w:eastAsiaTheme="minorEastAsia" w:cs="Calibri"/>
          <w:i/>
          <w:iCs/>
          <w:color w:val="000000" w:themeColor="text1"/>
          <w:lang w:val="en-US"/>
        </w:rPr>
        <w:t xml:space="preserve"> </w:t>
      </w:r>
      <w:proofErr w:type="spellStart"/>
      <w:r w:rsidRPr="006C5952">
        <w:rPr>
          <w:rFonts w:eastAsiaTheme="minorEastAsia" w:cs="Calibri"/>
          <w:i/>
          <w:iCs/>
          <w:color w:val="000000" w:themeColor="text1"/>
          <w:lang w:val="en-US"/>
        </w:rPr>
        <w:t>Lyberth-Klausen</w:t>
      </w:r>
      <w:proofErr w:type="spellEnd"/>
      <w:r w:rsidRPr="006C5952">
        <w:rPr>
          <w:rFonts w:eastAsiaTheme="minorEastAsia" w:cs="Calibri"/>
          <w:i/>
          <w:iCs/>
          <w:color w:val="000000" w:themeColor="text1"/>
          <w:lang w:val="en-US"/>
        </w:rPr>
        <w:t>, GE</w:t>
      </w:r>
    </w:p>
    <w:p w14:paraId="6252109D" w14:textId="77777777" w:rsidR="000220E3" w:rsidRPr="006C5952" w:rsidRDefault="000220E3" w:rsidP="000220E3">
      <w:pPr>
        <w:spacing w:after="0"/>
        <w:rPr>
          <w:rFonts w:eastAsiaTheme="minorEastAsia" w:cs="Calibri"/>
          <w:i/>
          <w:iCs/>
          <w:color w:val="000000" w:themeColor="text1"/>
          <w:lang w:val="en-US"/>
        </w:rPr>
      </w:pPr>
      <w:proofErr w:type="spellStart"/>
      <w:r w:rsidRPr="006C5952">
        <w:rPr>
          <w:rFonts w:eastAsiaTheme="minorEastAsia" w:cs="Calibri"/>
          <w:i/>
          <w:iCs/>
          <w:color w:val="000000" w:themeColor="text1"/>
          <w:lang w:val="en-US"/>
        </w:rPr>
        <w:t>Næstformand</w:t>
      </w:r>
      <w:proofErr w:type="spellEnd"/>
      <w:r w:rsidRPr="006C5952">
        <w:rPr>
          <w:rFonts w:eastAsiaTheme="minorEastAsia" w:cs="Calibri"/>
          <w:i/>
          <w:iCs/>
          <w:color w:val="000000" w:themeColor="text1"/>
          <w:lang w:val="en-US"/>
        </w:rPr>
        <w:t xml:space="preserve"> </w:t>
      </w:r>
      <w:proofErr w:type="spellStart"/>
      <w:r w:rsidRPr="006C5952">
        <w:rPr>
          <w:rFonts w:eastAsiaTheme="minorEastAsia" w:cs="Calibri"/>
          <w:i/>
          <w:iCs/>
          <w:color w:val="000000" w:themeColor="text1"/>
          <w:lang w:val="en-US"/>
        </w:rPr>
        <w:t>Ludvig</w:t>
      </w:r>
      <w:proofErr w:type="spellEnd"/>
      <w:r w:rsidRPr="006C5952">
        <w:rPr>
          <w:rFonts w:eastAsiaTheme="minorEastAsia" w:cs="Calibri"/>
          <w:i/>
          <w:iCs/>
          <w:color w:val="000000" w:themeColor="text1"/>
          <w:lang w:val="en-US"/>
        </w:rPr>
        <w:t xml:space="preserve"> Larsen, SIK</w:t>
      </w:r>
    </w:p>
    <w:p w14:paraId="015452E5" w14:textId="77777777" w:rsidR="000220E3" w:rsidRPr="006C5952" w:rsidRDefault="000220E3" w:rsidP="000220E3">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Head of Secretariat</w:t>
      </w:r>
      <w:r w:rsidRPr="006C5952">
        <w:rPr>
          <w:rFonts w:eastAsiaTheme="minorEastAsia" w:cs="Calibri"/>
          <w:i/>
          <w:iCs/>
          <w:color w:val="000000" w:themeColor="text1"/>
          <w:u w:val="single"/>
          <w:lang w:val="en-US"/>
        </w:rPr>
        <w:t>.</w:t>
      </w:r>
      <w:r w:rsidRPr="006C5952">
        <w:rPr>
          <w:rFonts w:eastAsiaTheme="minorEastAsia" w:cs="Calibri"/>
          <w:i/>
          <w:iCs/>
          <w:color w:val="000000" w:themeColor="text1"/>
          <w:lang w:val="en-US"/>
        </w:rPr>
        <w:t xml:space="preserve"> Bjarne Petersen, SIK</w:t>
      </w:r>
    </w:p>
    <w:p w14:paraId="1AFCD856" w14:textId="77777777" w:rsidR="000220E3" w:rsidRPr="006C5952" w:rsidRDefault="000220E3" w:rsidP="000220E3">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Lawyer </w:t>
      </w:r>
      <w:proofErr w:type="spellStart"/>
      <w:r w:rsidRPr="006C5952">
        <w:rPr>
          <w:rFonts w:eastAsiaTheme="minorEastAsia" w:cs="Calibri"/>
          <w:i/>
          <w:iCs/>
          <w:color w:val="000000" w:themeColor="text1"/>
          <w:lang w:val="en-US"/>
        </w:rPr>
        <w:t>Nuunu</w:t>
      </w:r>
      <w:proofErr w:type="spellEnd"/>
      <w:r w:rsidRPr="006C5952">
        <w:rPr>
          <w:rFonts w:eastAsiaTheme="minorEastAsia" w:cs="Calibri"/>
          <w:i/>
          <w:iCs/>
          <w:color w:val="000000" w:themeColor="text1"/>
          <w:lang w:val="en-US"/>
        </w:rPr>
        <w:t>-Mari Olsen, AK</w:t>
      </w:r>
    </w:p>
    <w:p w14:paraId="7104171C" w14:textId="77777777" w:rsidR="000220E3" w:rsidRPr="006C5952" w:rsidRDefault="000220E3" w:rsidP="000220E3">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Head of division Lona Lynge, Dep. of </w:t>
      </w:r>
      <w:proofErr w:type="spellStart"/>
      <w:r w:rsidRPr="006C5952">
        <w:rPr>
          <w:rFonts w:eastAsiaTheme="minorEastAsia" w:cs="Calibri"/>
          <w:i/>
          <w:iCs/>
          <w:color w:val="000000" w:themeColor="text1"/>
          <w:lang w:val="en-US"/>
        </w:rPr>
        <w:t>Labour</w:t>
      </w:r>
      <w:proofErr w:type="spellEnd"/>
    </w:p>
    <w:p w14:paraId="44F77788" w14:textId="77777777" w:rsidR="000220E3" w:rsidRPr="006C5952" w:rsidRDefault="000220E3" w:rsidP="000220E3">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Head of section Kim Lützhøft Jensen </w:t>
      </w:r>
    </w:p>
    <w:p w14:paraId="64B18348" w14:textId="77777777" w:rsidR="000220E3" w:rsidRPr="006C5952" w:rsidRDefault="000220E3" w:rsidP="000220E3">
      <w:pPr>
        <w:spacing w:after="0"/>
        <w:rPr>
          <w:rFonts w:eastAsiaTheme="minorEastAsia" w:cs="Calibri"/>
          <w:i/>
          <w:iCs/>
          <w:color w:val="000000" w:themeColor="text1"/>
          <w:lang w:val="en-US"/>
        </w:rPr>
      </w:pPr>
      <w:proofErr w:type="spellStart"/>
      <w:r w:rsidRPr="006C5952">
        <w:rPr>
          <w:rFonts w:eastAsiaTheme="minorEastAsia" w:cs="Calibri"/>
          <w:i/>
          <w:iCs/>
          <w:color w:val="000000" w:themeColor="text1"/>
          <w:lang w:val="en-US"/>
        </w:rPr>
        <w:t>PermanentSecretary</w:t>
      </w:r>
      <w:proofErr w:type="spellEnd"/>
      <w:r w:rsidRPr="006C5952">
        <w:rPr>
          <w:rFonts w:eastAsiaTheme="minorEastAsia" w:cs="Calibri"/>
          <w:i/>
          <w:iCs/>
          <w:color w:val="000000" w:themeColor="text1"/>
          <w:lang w:val="en-US"/>
        </w:rPr>
        <w:t xml:space="preserve"> Isak Nielsen Kleist, Dep. of </w:t>
      </w:r>
      <w:proofErr w:type="spellStart"/>
      <w:r w:rsidRPr="006C5952">
        <w:rPr>
          <w:rFonts w:eastAsiaTheme="minorEastAsia" w:cs="Calibri"/>
          <w:i/>
          <w:iCs/>
          <w:color w:val="000000" w:themeColor="text1"/>
          <w:lang w:val="en-US"/>
        </w:rPr>
        <w:t>Labour</w:t>
      </w:r>
      <w:proofErr w:type="spellEnd"/>
    </w:p>
    <w:p w14:paraId="09064A0F" w14:textId="77777777" w:rsidR="000220E3" w:rsidRPr="006C5952" w:rsidRDefault="000220E3" w:rsidP="000220E3">
      <w:pPr>
        <w:pStyle w:val="Default"/>
        <w:rPr>
          <w:rFonts w:asciiTheme="minorHAnsi" w:eastAsiaTheme="minorEastAsia" w:hAnsiTheme="minorHAnsi" w:cs="Calibri"/>
          <w:color w:val="000000" w:themeColor="text1"/>
          <w:sz w:val="22"/>
          <w:szCs w:val="22"/>
          <w:lang w:val="en-US"/>
        </w:rPr>
      </w:pPr>
    </w:p>
    <w:p w14:paraId="5153E050" w14:textId="77777777" w:rsidR="000220E3" w:rsidRDefault="000220E3" w:rsidP="000220E3">
      <w:pPr>
        <w:pStyle w:val="Default"/>
        <w:rPr>
          <w:rFonts w:asciiTheme="minorHAnsi" w:eastAsiaTheme="minorEastAsia" w:hAnsiTheme="minorHAnsi" w:cs="Calibri"/>
          <w:color w:val="000000" w:themeColor="text1"/>
          <w:sz w:val="22"/>
          <w:szCs w:val="22"/>
          <w:lang w:val="en-US"/>
        </w:rPr>
      </w:pPr>
    </w:p>
    <w:p w14:paraId="19D1461D" w14:textId="77777777" w:rsidR="000220E3" w:rsidRPr="006C5952" w:rsidRDefault="000220E3" w:rsidP="000220E3">
      <w:pPr>
        <w:pStyle w:val="Default"/>
        <w:rPr>
          <w:rFonts w:asciiTheme="minorHAnsi" w:eastAsiaTheme="minorEastAsia" w:hAnsiTheme="minorHAnsi" w:cs="Calibri"/>
          <w:color w:val="000000" w:themeColor="text1"/>
          <w:sz w:val="22"/>
          <w:szCs w:val="22"/>
          <w:lang w:val="en-US"/>
        </w:rPr>
      </w:pPr>
      <w:r w:rsidRPr="006C5952">
        <w:rPr>
          <w:rFonts w:asciiTheme="minorHAnsi" w:eastAsiaTheme="minorEastAsia" w:hAnsiTheme="minorHAnsi" w:cs="Calibri"/>
          <w:color w:val="000000" w:themeColor="text1"/>
          <w:sz w:val="22"/>
          <w:szCs w:val="22"/>
          <w:lang w:val="en-US"/>
        </w:rPr>
        <w:t>The second meeting of the ILO Committee was held on the 17. of May 2021.</w:t>
      </w:r>
    </w:p>
    <w:p w14:paraId="0C7B9357" w14:textId="77777777" w:rsidR="000220E3" w:rsidRDefault="000220E3" w:rsidP="000220E3">
      <w:pPr>
        <w:pStyle w:val="Default"/>
        <w:rPr>
          <w:rFonts w:asciiTheme="minorHAnsi" w:eastAsiaTheme="minorEastAsia" w:hAnsiTheme="minorHAnsi" w:cs="Calibri"/>
          <w:color w:val="000000" w:themeColor="text1"/>
          <w:sz w:val="22"/>
          <w:szCs w:val="22"/>
          <w:lang w:val="en-US"/>
        </w:rPr>
      </w:pPr>
      <w:r w:rsidRPr="006C5952">
        <w:rPr>
          <w:rFonts w:asciiTheme="minorHAnsi" w:eastAsiaTheme="minorEastAsia" w:hAnsiTheme="minorHAnsi" w:cs="Calibri"/>
          <w:color w:val="000000" w:themeColor="text1"/>
          <w:sz w:val="22"/>
          <w:szCs w:val="22"/>
          <w:lang w:val="en-US"/>
        </w:rPr>
        <w:t xml:space="preserve">Participants: </w:t>
      </w:r>
    </w:p>
    <w:p w14:paraId="7BD02B0C" w14:textId="77777777" w:rsidR="000220E3" w:rsidRPr="006C5952" w:rsidRDefault="000220E3" w:rsidP="000220E3">
      <w:pPr>
        <w:pStyle w:val="Default"/>
        <w:rPr>
          <w:rFonts w:asciiTheme="minorHAnsi" w:eastAsiaTheme="minorEastAsia" w:hAnsiTheme="minorHAnsi" w:cs="Calibri"/>
          <w:color w:val="000000" w:themeColor="text1"/>
          <w:sz w:val="22"/>
          <w:szCs w:val="22"/>
          <w:lang w:val="en-US"/>
        </w:rPr>
      </w:pPr>
    </w:p>
    <w:p w14:paraId="7C105F45" w14:textId="77777777" w:rsidR="000220E3" w:rsidRPr="006C5952" w:rsidRDefault="000220E3" w:rsidP="000220E3">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Head of Secretariat. </w:t>
      </w:r>
      <w:proofErr w:type="spellStart"/>
      <w:r w:rsidRPr="006C5952">
        <w:rPr>
          <w:rFonts w:eastAsiaTheme="minorEastAsia" w:cs="Calibri"/>
          <w:i/>
          <w:iCs/>
          <w:color w:val="000000" w:themeColor="text1"/>
          <w:lang w:val="en-US"/>
        </w:rPr>
        <w:t>Karsten</w:t>
      </w:r>
      <w:proofErr w:type="spellEnd"/>
      <w:r w:rsidRPr="006C5952">
        <w:rPr>
          <w:rFonts w:eastAsiaTheme="minorEastAsia" w:cs="Calibri"/>
          <w:i/>
          <w:iCs/>
          <w:color w:val="000000" w:themeColor="text1"/>
          <w:lang w:val="en-US"/>
        </w:rPr>
        <w:t xml:space="preserve"> </w:t>
      </w:r>
      <w:proofErr w:type="spellStart"/>
      <w:r w:rsidRPr="006C5952">
        <w:rPr>
          <w:rFonts w:eastAsiaTheme="minorEastAsia" w:cs="Calibri"/>
          <w:i/>
          <w:iCs/>
          <w:color w:val="000000" w:themeColor="text1"/>
          <w:lang w:val="en-US"/>
        </w:rPr>
        <w:t>Lyberth-Klausen</w:t>
      </w:r>
      <w:proofErr w:type="spellEnd"/>
      <w:r w:rsidRPr="006C5952">
        <w:rPr>
          <w:rFonts w:eastAsiaTheme="minorEastAsia" w:cs="Calibri"/>
          <w:i/>
          <w:iCs/>
          <w:color w:val="000000" w:themeColor="text1"/>
          <w:lang w:val="en-US"/>
        </w:rPr>
        <w:t>, GE</w:t>
      </w:r>
    </w:p>
    <w:p w14:paraId="1B23DA45" w14:textId="77777777" w:rsidR="000220E3" w:rsidRPr="0090746F" w:rsidRDefault="000220E3" w:rsidP="000220E3">
      <w:pPr>
        <w:spacing w:after="0"/>
        <w:rPr>
          <w:rFonts w:eastAsiaTheme="minorEastAsia" w:cs="Calibri"/>
          <w:i/>
          <w:iCs/>
          <w:color w:val="000000" w:themeColor="text1"/>
        </w:rPr>
      </w:pPr>
      <w:r w:rsidRPr="0090746F">
        <w:rPr>
          <w:rFonts w:eastAsiaTheme="minorEastAsia" w:cs="Calibri"/>
          <w:i/>
          <w:iCs/>
          <w:color w:val="000000" w:themeColor="text1"/>
        </w:rPr>
        <w:t>Næstformand Ludvig Larsen, SIK</w:t>
      </w:r>
    </w:p>
    <w:p w14:paraId="49795AD0" w14:textId="77777777" w:rsidR="000220E3" w:rsidRPr="0090746F" w:rsidRDefault="000220E3" w:rsidP="000220E3">
      <w:pPr>
        <w:spacing w:after="0"/>
        <w:rPr>
          <w:rFonts w:eastAsiaTheme="minorEastAsia" w:cs="Calibri"/>
          <w:i/>
          <w:iCs/>
          <w:color w:val="000000" w:themeColor="text1"/>
        </w:rPr>
      </w:pPr>
      <w:proofErr w:type="spellStart"/>
      <w:r w:rsidRPr="0090746F">
        <w:rPr>
          <w:rFonts w:eastAsiaTheme="minorEastAsia" w:cs="Calibri"/>
          <w:i/>
          <w:iCs/>
          <w:color w:val="000000" w:themeColor="text1"/>
        </w:rPr>
        <w:t>Lawyer</w:t>
      </w:r>
      <w:proofErr w:type="spellEnd"/>
      <w:r w:rsidRPr="0090746F">
        <w:rPr>
          <w:rFonts w:eastAsiaTheme="minorEastAsia" w:cs="Calibri"/>
          <w:i/>
          <w:iCs/>
          <w:color w:val="000000" w:themeColor="text1"/>
        </w:rPr>
        <w:t xml:space="preserve"> Nuunu-Mari Olsen, AK</w:t>
      </w:r>
    </w:p>
    <w:p w14:paraId="4F9DBDEB" w14:textId="77777777" w:rsidR="000220E3" w:rsidRPr="006C5952" w:rsidRDefault="000220E3" w:rsidP="000220E3">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Head of division Lona Lynge, Dep. of </w:t>
      </w:r>
      <w:proofErr w:type="spellStart"/>
      <w:r w:rsidRPr="006C5952">
        <w:rPr>
          <w:rFonts w:eastAsiaTheme="minorEastAsia" w:cs="Calibri"/>
          <w:i/>
          <w:iCs/>
          <w:color w:val="000000" w:themeColor="text1"/>
          <w:lang w:val="en-US"/>
        </w:rPr>
        <w:t>Labour</w:t>
      </w:r>
      <w:proofErr w:type="spellEnd"/>
    </w:p>
    <w:p w14:paraId="718BD0D6" w14:textId="77777777" w:rsidR="000220E3" w:rsidRPr="006C5952" w:rsidRDefault="000220E3" w:rsidP="000220E3">
      <w:pPr>
        <w:spacing w:after="0"/>
        <w:rPr>
          <w:rFonts w:eastAsiaTheme="minorEastAsia" w:cs="Calibri"/>
          <w:i/>
          <w:iCs/>
          <w:color w:val="000000" w:themeColor="text1"/>
          <w:lang w:val="en-US"/>
        </w:rPr>
      </w:pPr>
      <w:r w:rsidRPr="006C5952">
        <w:rPr>
          <w:rFonts w:eastAsiaTheme="minorEastAsia" w:cs="Calibri"/>
          <w:i/>
          <w:iCs/>
          <w:color w:val="000000" w:themeColor="text1"/>
          <w:lang w:val="en-US"/>
        </w:rPr>
        <w:t xml:space="preserve">Head of section Anders Hove </w:t>
      </w:r>
    </w:p>
    <w:p w14:paraId="1BD7943C" w14:textId="77777777" w:rsidR="000220E3" w:rsidRPr="006C5952" w:rsidRDefault="000220E3" w:rsidP="000220E3">
      <w:pPr>
        <w:rPr>
          <w:lang w:val="en-US"/>
        </w:rPr>
      </w:pPr>
    </w:p>
    <w:p w14:paraId="09CA6A01" w14:textId="591D9B4C" w:rsidR="00CE15EA" w:rsidRDefault="00CE15EA" w:rsidP="000220E3">
      <w:pPr>
        <w:rPr>
          <w:rFonts w:asciiTheme="minorHAnsi" w:hAnsiTheme="minorHAnsi" w:cstheme="minorHAnsi"/>
          <w:b/>
          <w:caps/>
          <w:lang w:val="en-GB" w:eastAsia="da-DK"/>
        </w:rPr>
      </w:pPr>
    </w:p>
    <w:p w14:paraId="5FDB9E5B" w14:textId="0756EA8B" w:rsidR="000220E3" w:rsidRDefault="000220E3" w:rsidP="000220E3">
      <w:pPr>
        <w:rPr>
          <w:rFonts w:asciiTheme="minorHAnsi" w:hAnsiTheme="minorHAnsi" w:cstheme="minorHAnsi"/>
          <w:b/>
          <w:caps/>
          <w:lang w:val="en-GB" w:eastAsia="da-DK"/>
        </w:rPr>
      </w:pPr>
    </w:p>
    <w:p w14:paraId="2C709609" w14:textId="7638B24E" w:rsidR="000220E3" w:rsidRDefault="000220E3" w:rsidP="000220E3">
      <w:pPr>
        <w:rPr>
          <w:rFonts w:asciiTheme="minorHAnsi" w:hAnsiTheme="minorHAnsi" w:cstheme="minorHAnsi"/>
          <w:b/>
          <w:caps/>
          <w:lang w:val="en-GB" w:eastAsia="da-DK"/>
        </w:rPr>
      </w:pPr>
    </w:p>
    <w:p w14:paraId="781D4EC5" w14:textId="1763E643" w:rsidR="000220E3" w:rsidRDefault="000220E3" w:rsidP="000220E3">
      <w:pPr>
        <w:rPr>
          <w:rFonts w:asciiTheme="minorHAnsi" w:hAnsiTheme="minorHAnsi" w:cstheme="minorHAnsi"/>
          <w:b/>
          <w:caps/>
          <w:lang w:val="en-GB" w:eastAsia="da-DK"/>
        </w:rPr>
      </w:pPr>
    </w:p>
    <w:p w14:paraId="6E855434" w14:textId="0BFC541E" w:rsidR="000220E3" w:rsidRDefault="000220E3" w:rsidP="000220E3">
      <w:pPr>
        <w:rPr>
          <w:rFonts w:asciiTheme="minorHAnsi" w:hAnsiTheme="minorHAnsi" w:cstheme="minorHAnsi"/>
          <w:b/>
          <w:caps/>
          <w:lang w:val="en-GB" w:eastAsia="da-DK"/>
        </w:rPr>
      </w:pPr>
    </w:p>
    <w:p w14:paraId="6A33B4E0" w14:textId="5CAED522" w:rsidR="000220E3" w:rsidRDefault="000220E3" w:rsidP="000220E3">
      <w:pPr>
        <w:rPr>
          <w:rFonts w:asciiTheme="minorHAnsi" w:hAnsiTheme="minorHAnsi" w:cstheme="minorHAnsi"/>
          <w:b/>
          <w:caps/>
          <w:lang w:val="en-GB" w:eastAsia="da-DK"/>
        </w:rPr>
      </w:pPr>
    </w:p>
    <w:p w14:paraId="3A335870" w14:textId="5ED4876B" w:rsidR="000220E3" w:rsidRDefault="000220E3" w:rsidP="000220E3">
      <w:pPr>
        <w:rPr>
          <w:rFonts w:asciiTheme="minorHAnsi" w:hAnsiTheme="minorHAnsi" w:cstheme="minorHAnsi"/>
          <w:b/>
          <w:caps/>
          <w:lang w:val="en-GB" w:eastAsia="da-DK"/>
        </w:rPr>
      </w:pPr>
    </w:p>
    <w:p w14:paraId="1A5BFFB2" w14:textId="566D11C0" w:rsidR="000220E3" w:rsidRDefault="000220E3" w:rsidP="000220E3">
      <w:pPr>
        <w:rPr>
          <w:rFonts w:asciiTheme="minorHAnsi" w:hAnsiTheme="minorHAnsi" w:cstheme="minorHAnsi"/>
          <w:b/>
          <w:caps/>
          <w:lang w:val="en-GB" w:eastAsia="da-DK"/>
        </w:rPr>
      </w:pPr>
    </w:p>
    <w:p w14:paraId="314ED488" w14:textId="383C40D2" w:rsidR="000220E3" w:rsidRDefault="000220E3" w:rsidP="000220E3">
      <w:pPr>
        <w:rPr>
          <w:rFonts w:asciiTheme="minorHAnsi" w:hAnsiTheme="minorHAnsi" w:cstheme="minorHAnsi"/>
          <w:b/>
          <w:caps/>
          <w:lang w:val="en-GB" w:eastAsia="da-DK"/>
        </w:rPr>
      </w:pPr>
    </w:p>
    <w:p w14:paraId="38ED6328" w14:textId="77777777" w:rsidR="00D525A0" w:rsidRPr="005E6FCE" w:rsidRDefault="00D525A0" w:rsidP="00D525A0">
      <w:pPr>
        <w:rPr>
          <w:b/>
          <w:lang w:val="en-GB"/>
        </w:rPr>
      </w:pPr>
      <w:r w:rsidRPr="005E6FCE">
        <w:rPr>
          <w:b/>
          <w:lang w:val="en-GB"/>
        </w:rPr>
        <w:lastRenderedPageBreak/>
        <w:t>I.</w:t>
      </w:r>
    </w:p>
    <w:p w14:paraId="0601BB98" w14:textId="77777777" w:rsidR="00D525A0" w:rsidRDefault="00D525A0" w:rsidP="00D525A0">
      <w:pPr>
        <w:rPr>
          <w:rFonts w:ascii="Arial" w:hAnsi="Arial" w:cs="Arial"/>
          <w:sz w:val="20"/>
          <w:szCs w:val="20"/>
          <w:lang w:val="en-US"/>
        </w:rPr>
      </w:pPr>
      <w:r w:rsidRPr="00D419F1">
        <w:rPr>
          <w:rFonts w:ascii="Arial" w:hAnsi="Arial" w:cs="Arial"/>
          <w:sz w:val="20"/>
          <w:szCs w:val="20"/>
          <w:lang w:val="en-US"/>
        </w:rPr>
        <w:t>Please refer to previous reports</w:t>
      </w:r>
      <w:r>
        <w:rPr>
          <w:rFonts w:ascii="Arial" w:hAnsi="Arial" w:cs="Arial"/>
          <w:sz w:val="20"/>
          <w:szCs w:val="20"/>
          <w:lang w:val="en-US"/>
        </w:rPr>
        <w:t>.</w:t>
      </w:r>
    </w:p>
    <w:p w14:paraId="0B866354" w14:textId="77777777" w:rsidR="00D525A0" w:rsidRPr="009F6346" w:rsidRDefault="00D525A0" w:rsidP="00D525A0">
      <w:pPr>
        <w:rPr>
          <w:b/>
          <w:lang w:val="en-GB"/>
        </w:rPr>
      </w:pPr>
      <w:r w:rsidRPr="009F6346">
        <w:rPr>
          <w:b/>
          <w:lang w:val="en-GB"/>
        </w:rPr>
        <w:t>II.</w:t>
      </w:r>
    </w:p>
    <w:p w14:paraId="3D9D4E54" w14:textId="77777777" w:rsidR="00D525A0" w:rsidRPr="005E6FCE" w:rsidRDefault="00D525A0" w:rsidP="00D525A0">
      <w:pPr>
        <w:rPr>
          <w:rFonts w:ascii="Arial" w:hAnsi="Arial" w:cs="Arial"/>
          <w:sz w:val="20"/>
          <w:szCs w:val="20"/>
          <w:lang w:val="en-US"/>
        </w:rPr>
      </w:pPr>
      <w:r w:rsidRPr="00D419F1">
        <w:rPr>
          <w:rFonts w:ascii="Arial" w:hAnsi="Arial" w:cs="Arial"/>
          <w:sz w:val="20"/>
          <w:szCs w:val="20"/>
          <w:lang w:val="en-US"/>
        </w:rPr>
        <w:t>Please refer to previous reports</w:t>
      </w:r>
      <w:r>
        <w:rPr>
          <w:rFonts w:ascii="Arial" w:hAnsi="Arial" w:cs="Arial"/>
          <w:sz w:val="20"/>
          <w:szCs w:val="20"/>
          <w:lang w:val="en-US"/>
        </w:rPr>
        <w:t>.</w:t>
      </w:r>
    </w:p>
    <w:p w14:paraId="56D2CAED" w14:textId="77777777" w:rsidR="00D525A0" w:rsidRPr="009F6346" w:rsidRDefault="00D525A0" w:rsidP="00D525A0">
      <w:pPr>
        <w:rPr>
          <w:b/>
          <w:lang w:val="en-GB"/>
        </w:rPr>
      </w:pPr>
      <w:r w:rsidRPr="009F6346">
        <w:rPr>
          <w:b/>
          <w:lang w:val="en-GB"/>
        </w:rPr>
        <w:t>III.</w:t>
      </w:r>
    </w:p>
    <w:p w14:paraId="6FBFBAD7" w14:textId="77777777" w:rsidR="00D525A0" w:rsidRDefault="00D525A0" w:rsidP="00D525A0">
      <w:pPr>
        <w:rPr>
          <w:lang w:val="en-GB"/>
        </w:rPr>
      </w:pPr>
      <w:r w:rsidRPr="005E5129">
        <w:rPr>
          <w:highlight w:val="yellow"/>
          <w:lang w:val="en-GB"/>
        </w:rPr>
        <w:t>During the report period, no principal decisions were made by courts or any other legal body regarding matters concerning the Convention.</w:t>
      </w:r>
    </w:p>
    <w:p w14:paraId="296FB4A8" w14:textId="77777777" w:rsidR="00D525A0" w:rsidRPr="009F6346" w:rsidRDefault="00D525A0" w:rsidP="00D525A0">
      <w:pPr>
        <w:rPr>
          <w:b/>
          <w:lang w:val="en-GB"/>
        </w:rPr>
      </w:pPr>
      <w:r w:rsidRPr="009F6346">
        <w:rPr>
          <w:b/>
          <w:lang w:val="en-GB"/>
        </w:rPr>
        <w:t>IV.</w:t>
      </w:r>
    </w:p>
    <w:p w14:paraId="3D724FE6" w14:textId="77777777" w:rsidR="00D525A0" w:rsidRDefault="00D525A0" w:rsidP="00D525A0">
      <w:pPr>
        <w:rPr>
          <w:rFonts w:ascii="Arial" w:hAnsi="Arial" w:cs="Arial"/>
          <w:sz w:val="20"/>
          <w:szCs w:val="20"/>
          <w:lang w:val="en-US"/>
        </w:rPr>
      </w:pPr>
      <w:r w:rsidRPr="00D419F1">
        <w:rPr>
          <w:rFonts w:ascii="Arial" w:hAnsi="Arial" w:cs="Arial"/>
          <w:sz w:val="20"/>
          <w:szCs w:val="20"/>
          <w:lang w:val="en-US"/>
        </w:rPr>
        <w:t>Please refer to previous reports</w:t>
      </w:r>
      <w:r>
        <w:rPr>
          <w:rFonts w:ascii="Arial" w:hAnsi="Arial" w:cs="Arial"/>
          <w:sz w:val="20"/>
          <w:szCs w:val="20"/>
          <w:lang w:val="en-US"/>
        </w:rPr>
        <w:t>.</w:t>
      </w:r>
    </w:p>
    <w:p w14:paraId="656FED3D" w14:textId="77777777" w:rsidR="00D525A0" w:rsidRPr="009F6346" w:rsidRDefault="00D525A0" w:rsidP="00D525A0">
      <w:pPr>
        <w:rPr>
          <w:b/>
          <w:lang w:val="en-GB"/>
        </w:rPr>
      </w:pPr>
      <w:r w:rsidRPr="009F6346">
        <w:rPr>
          <w:b/>
          <w:lang w:val="en-GB"/>
        </w:rPr>
        <w:t>V.</w:t>
      </w:r>
    </w:p>
    <w:p w14:paraId="11ED3054" w14:textId="77777777" w:rsidR="00D525A0" w:rsidRDefault="00D525A0" w:rsidP="00D525A0">
      <w:pPr>
        <w:rPr>
          <w:lang w:val="en-GB"/>
        </w:rPr>
      </w:pPr>
      <w:r>
        <w:rPr>
          <w:lang w:val="en-GB"/>
        </w:rPr>
        <w:t xml:space="preserve">This report has been forwarded to the following organisations of employers and workers in </w:t>
      </w:r>
      <w:smartTag w:uri="urn:schemas-microsoft-com:office:smarttags" w:element="place">
        <w:r>
          <w:rPr>
            <w:lang w:val="en-GB"/>
          </w:rPr>
          <w:t>Greenland</w:t>
        </w:r>
      </w:smartTag>
      <w:r>
        <w:rPr>
          <w:lang w:val="en-GB"/>
        </w:rPr>
        <w:t xml:space="preserve">: </w:t>
      </w:r>
    </w:p>
    <w:p w14:paraId="5363C0F5" w14:textId="77777777" w:rsidR="00D525A0" w:rsidRPr="005E5129" w:rsidRDefault="00D525A0" w:rsidP="00D525A0">
      <w:pPr>
        <w:jc w:val="both"/>
        <w:rPr>
          <w:rFonts w:asciiTheme="minorHAnsi" w:hAnsiTheme="minorHAnsi" w:cstheme="minorHAnsi"/>
          <w:b/>
          <w:lang w:val="en-GB"/>
        </w:rPr>
      </w:pPr>
      <w:r w:rsidRPr="005E5129">
        <w:rPr>
          <w:rFonts w:asciiTheme="minorHAnsi" w:hAnsiTheme="minorHAnsi" w:cstheme="minorHAnsi"/>
          <w:lang w:val="en-US"/>
        </w:rPr>
        <w:t>Copies of this report have been communicated to</w:t>
      </w:r>
      <w:r w:rsidRPr="005E5129">
        <w:rPr>
          <w:rFonts w:asciiTheme="minorHAnsi" w:hAnsiTheme="minorHAnsi" w:cstheme="minorHAnsi"/>
          <w:color w:val="222222"/>
          <w:lang w:val="en-GB"/>
        </w:rPr>
        <w:t xml:space="preserve"> </w:t>
      </w:r>
      <w:proofErr w:type="gramStart"/>
      <w:r w:rsidRPr="005E5129">
        <w:rPr>
          <w:rFonts w:asciiTheme="minorHAnsi" w:hAnsiTheme="minorHAnsi" w:cstheme="minorHAnsi"/>
          <w:color w:val="222222"/>
          <w:lang w:val="en-GB"/>
        </w:rPr>
        <w:t>he</w:t>
      </w:r>
      <w:proofErr w:type="gramEnd"/>
      <w:r w:rsidRPr="005E5129">
        <w:rPr>
          <w:rFonts w:asciiTheme="minorHAnsi" w:hAnsiTheme="minorHAnsi" w:cstheme="minorHAnsi"/>
          <w:color w:val="222222"/>
          <w:lang w:val="en-GB"/>
        </w:rPr>
        <w:t xml:space="preserve"> following trade unions, organizations and stakeholders have received the draft of this report for consultation between June 25 and July 30 20</w:t>
      </w:r>
      <w:r>
        <w:rPr>
          <w:rFonts w:asciiTheme="minorHAnsi" w:hAnsiTheme="minorHAnsi" w:cstheme="minorHAnsi"/>
          <w:color w:val="222222"/>
          <w:lang w:val="en-GB"/>
        </w:rPr>
        <w:t>21</w:t>
      </w:r>
      <w:r w:rsidRPr="005E5129">
        <w:rPr>
          <w:rFonts w:asciiTheme="minorHAnsi" w:hAnsiTheme="minorHAnsi" w:cstheme="minorHAnsi"/>
          <w:lang w:val="en-GB"/>
        </w:rPr>
        <w:t>:</w:t>
      </w:r>
    </w:p>
    <w:p w14:paraId="7213886F" w14:textId="77777777" w:rsidR="00A104E8" w:rsidRPr="00497721" w:rsidRDefault="00A104E8" w:rsidP="00A104E8">
      <w:pPr>
        <w:pStyle w:val="Listeafsnit"/>
        <w:numPr>
          <w:ilvl w:val="0"/>
          <w:numId w:val="3"/>
        </w:numPr>
        <w:spacing w:after="0"/>
        <w:jc w:val="both"/>
        <w:rPr>
          <w:rFonts w:ascii="Times New Roman" w:hAnsi="Times New Roman"/>
          <w:color w:val="222222"/>
          <w:sz w:val="24"/>
        </w:rPr>
      </w:pPr>
      <w:r w:rsidRPr="00497721">
        <w:rPr>
          <w:rFonts w:ascii="Times New Roman" w:hAnsi="Times New Roman"/>
          <w:color w:val="222222"/>
          <w:sz w:val="24"/>
        </w:rPr>
        <w:t xml:space="preserve">Greenland </w:t>
      </w:r>
      <w:proofErr w:type="spellStart"/>
      <w:r w:rsidRPr="00497721">
        <w:rPr>
          <w:rFonts w:ascii="Times New Roman" w:hAnsi="Times New Roman"/>
          <w:color w:val="222222"/>
          <w:sz w:val="24"/>
        </w:rPr>
        <w:t>municipalities</w:t>
      </w:r>
      <w:proofErr w:type="spellEnd"/>
      <w:r w:rsidRPr="00497721">
        <w:rPr>
          <w:rFonts w:ascii="Times New Roman" w:hAnsi="Times New Roman"/>
          <w:color w:val="222222"/>
          <w:sz w:val="24"/>
        </w:rPr>
        <w:t>:</w:t>
      </w:r>
    </w:p>
    <w:p w14:paraId="72660BDF" w14:textId="77777777" w:rsidR="00A104E8" w:rsidRPr="00497721" w:rsidRDefault="00A104E8" w:rsidP="00A104E8">
      <w:pPr>
        <w:pStyle w:val="Listeafsnit"/>
        <w:numPr>
          <w:ilvl w:val="1"/>
          <w:numId w:val="3"/>
        </w:numPr>
        <w:spacing w:after="0"/>
        <w:jc w:val="both"/>
        <w:rPr>
          <w:rFonts w:ascii="Times New Roman" w:hAnsi="Times New Roman"/>
          <w:color w:val="222222"/>
          <w:sz w:val="24"/>
        </w:rPr>
      </w:pPr>
      <w:proofErr w:type="spellStart"/>
      <w:r w:rsidRPr="00497721">
        <w:rPr>
          <w:rFonts w:ascii="Times New Roman" w:hAnsi="Times New Roman"/>
          <w:color w:val="222222"/>
          <w:sz w:val="24"/>
        </w:rPr>
        <w:t>Qeqertalik</w:t>
      </w:r>
      <w:proofErr w:type="spellEnd"/>
      <w:r w:rsidRPr="00497721">
        <w:rPr>
          <w:rFonts w:ascii="Times New Roman" w:hAnsi="Times New Roman"/>
          <w:color w:val="222222"/>
          <w:sz w:val="24"/>
        </w:rPr>
        <w:t xml:space="preserve"> </w:t>
      </w:r>
      <w:proofErr w:type="spellStart"/>
      <w:r w:rsidRPr="00497721">
        <w:rPr>
          <w:rFonts w:ascii="Times New Roman" w:hAnsi="Times New Roman"/>
          <w:color w:val="222222"/>
          <w:sz w:val="24"/>
        </w:rPr>
        <w:t>Kommunia</w:t>
      </w:r>
      <w:proofErr w:type="spellEnd"/>
      <w:r w:rsidRPr="00497721">
        <w:rPr>
          <w:rFonts w:ascii="Times New Roman" w:hAnsi="Times New Roman"/>
          <w:color w:val="222222"/>
          <w:sz w:val="24"/>
        </w:rPr>
        <w:t xml:space="preserve"> </w:t>
      </w:r>
      <w:r w:rsidRPr="00497721">
        <w:rPr>
          <w:rFonts w:ascii="Times New Roman" w:hAnsi="Times New Roman"/>
        </w:rPr>
        <w:t xml:space="preserve">▪ </w:t>
      </w:r>
      <w:r w:rsidRPr="00497721">
        <w:rPr>
          <w:rFonts w:ascii="Times New Roman" w:hAnsi="Times New Roman"/>
          <w:color w:val="222222"/>
          <w:sz w:val="24"/>
        </w:rPr>
        <w:t xml:space="preserve">Niels Egedes Plads 1 </w:t>
      </w:r>
      <w:r w:rsidRPr="00497721">
        <w:rPr>
          <w:rFonts w:ascii="Times New Roman" w:hAnsi="Times New Roman"/>
        </w:rPr>
        <w:t xml:space="preserve">▪ </w:t>
      </w:r>
      <w:r w:rsidRPr="00497721">
        <w:rPr>
          <w:rFonts w:ascii="Times New Roman" w:hAnsi="Times New Roman"/>
          <w:color w:val="222222"/>
          <w:sz w:val="24"/>
        </w:rPr>
        <w:t xml:space="preserve">P.O. Box 220 </w:t>
      </w:r>
      <w:r w:rsidRPr="00497721">
        <w:rPr>
          <w:rFonts w:ascii="Times New Roman" w:hAnsi="Times New Roman"/>
        </w:rPr>
        <w:t xml:space="preserve">▪ </w:t>
      </w:r>
      <w:r w:rsidRPr="00497721">
        <w:rPr>
          <w:rFonts w:ascii="Times New Roman" w:hAnsi="Times New Roman"/>
          <w:color w:val="222222"/>
          <w:sz w:val="24"/>
        </w:rPr>
        <w:t xml:space="preserve">3950 Aasiaat </w:t>
      </w:r>
      <w:r w:rsidRPr="00497721">
        <w:rPr>
          <w:rFonts w:ascii="Times New Roman" w:hAnsi="Times New Roman"/>
        </w:rPr>
        <w:t>▪</w:t>
      </w:r>
      <w:r w:rsidRPr="00497721">
        <w:rPr>
          <w:rFonts w:ascii="Times New Roman" w:hAnsi="Times New Roman"/>
          <w:color w:val="222222"/>
          <w:sz w:val="24"/>
        </w:rPr>
        <w:t xml:space="preserve"> </w:t>
      </w:r>
      <w:r>
        <w:rPr>
          <w:rFonts w:ascii="Times New Roman" w:hAnsi="Times New Roman"/>
          <w:color w:val="222222"/>
          <w:sz w:val="24"/>
        </w:rPr>
        <w:t>GL-</w:t>
      </w:r>
      <w:r w:rsidRPr="00497721">
        <w:rPr>
          <w:rFonts w:ascii="Times New Roman" w:hAnsi="Times New Roman"/>
          <w:color w:val="222222"/>
          <w:sz w:val="24"/>
        </w:rPr>
        <w:t xml:space="preserve">Greenland </w:t>
      </w:r>
      <w:r w:rsidRPr="00497721">
        <w:rPr>
          <w:rFonts w:ascii="Times New Roman" w:hAnsi="Times New Roman"/>
        </w:rPr>
        <w:t>▪</w:t>
      </w:r>
      <w:r w:rsidRPr="00497721">
        <w:rPr>
          <w:rFonts w:ascii="Times New Roman" w:hAnsi="Times New Roman"/>
          <w:color w:val="222222"/>
          <w:sz w:val="24"/>
        </w:rPr>
        <w:t xml:space="preserve"> (+299) 70 19 00 </w:t>
      </w:r>
      <w:r w:rsidRPr="00497721">
        <w:rPr>
          <w:rFonts w:ascii="Times New Roman" w:hAnsi="Times New Roman"/>
        </w:rPr>
        <w:t xml:space="preserve">▪ </w:t>
      </w:r>
      <w:hyperlink r:id="rId7" w:history="1">
        <w:r w:rsidRPr="00497721">
          <w:rPr>
            <w:rStyle w:val="Hyperlink"/>
            <w:rFonts w:ascii="Times New Roman" w:hAnsi="Times New Roman"/>
            <w:sz w:val="24"/>
          </w:rPr>
          <w:t>tusagassiivik@qeqertalik.gl</w:t>
        </w:r>
      </w:hyperlink>
    </w:p>
    <w:p w14:paraId="4FE26C76" w14:textId="77777777" w:rsidR="00A104E8" w:rsidRPr="00497721" w:rsidRDefault="00A104E8" w:rsidP="00A104E8">
      <w:pPr>
        <w:pStyle w:val="Listeafsnit"/>
        <w:numPr>
          <w:ilvl w:val="1"/>
          <w:numId w:val="3"/>
        </w:numPr>
        <w:spacing w:after="0"/>
        <w:jc w:val="both"/>
        <w:rPr>
          <w:rFonts w:ascii="Times New Roman" w:hAnsi="Times New Roman"/>
          <w:color w:val="222222"/>
          <w:sz w:val="24"/>
        </w:rPr>
      </w:pPr>
      <w:proofErr w:type="spellStart"/>
      <w:r w:rsidRPr="00497721">
        <w:rPr>
          <w:rFonts w:ascii="Times New Roman" w:hAnsi="Times New Roman"/>
          <w:color w:val="222222"/>
          <w:sz w:val="24"/>
        </w:rPr>
        <w:t>Kommuneqarfik</w:t>
      </w:r>
      <w:proofErr w:type="spellEnd"/>
      <w:r w:rsidRPr="00497721">
        <w:rPr>
          <w:rFonts w:ascii="Times New Roman" w:hAnsi="Times New Roman"/>
          <w:color w:val="222222"/>
          <w:sz w:val="24"/>
        </w:rPr>
        <w:t xml:space="preserve"> </w:t>
      </w:r>
      <w:proofErr w:type="spellStart"/>
      <w:r w:rsidRPr="00497721">
        <w:rPr>
          <w:rFonts w:ascii="Times New Roman" w:hAnsi="Times New Roman"/>
          <w:color w:val="222222"/>
          <w:sz w:val="24"/>
        </w:rPr>
        <w:t>Sermersooq</w:t>
      </w:r>
      <w:proofErr w:type="spellEnd"/>
      <w:r w:rsidRPr="00497721">
        <w:rPr>
          <w:rFonts w:ascii="Times New Roman" w:hAnsi="Times New Roman"/>
          <w:color w:val="222222"/>
          <w:sz w:val="24"/>
        </w:rPr>
        <w:t xml:space="preserve"> </w:t>
      </w:r>
      <w:r w:rsidRPr="00497721">
        <w:rPr>
          <w:rFonts w:ascii="Times New Roman" w:hAnsi="Times New Roman"/>
        </w:rPr>
        <w:t>▪</w:t>
      </w:r>
      <w:r w:rsidRPr="00497721">
        <w:rPr>
          <w:rFonts w:ascii="Times New Roman" w:hAnsi="Times New Roman"/>
          <w:color w:val="222222"/>
          <w:sz w:val="24"/>
        </w:rPr>
        <w:t xml:space="preserve"> </w:t>
      </w:r>
      <w:proofErr w:type="spellStart"/>
      <w:r w:rsidRPr="00497721">
        <w:rPr>
          <w:rFonts w:ascii="Times New Roman" w:hAnsi="Times New Roman"/>
          <w:color w:val="222222"/>
          <w:sz w:val="24"/>
        </w:rPr>
        <w:t>Kuussuaq</w:t>
      </w:r>
      <w:proofErr w:type="spellEnd"/>
      <w:r w:rsidRPr="00497721">
        <w:rPr>
          <w:rFonts w:ascii="Times New Roman" w:hAnsi="Times New Roman"/>
          <w:color w:val="222222"/>
          <w:sz w:val="24"/>
        </w:rPr>
        <w:t xml:space="preserve"> 2 </w:t>
      </w:r>
      <w:r w:rsidRPr="00497721">
        <w:rPr>
          <w:rFonts w:ascii="Times New Roman" w:hAnsi="Times New Roman"/>
        </w:rPr>
        <w:t>▪</w:t>
      </w:r>
      <w:r w:rsidRPr="00497721">
        <w:rPr>
          <w:rFonts w:ascii="Times New Roman" w:hAnsi="Times New Roman"/>
          <w:color w:val="222222"/>
          <w:sz w:val="24"/>
        </w:rPr>
        <w:t xml:space="preserve"> P.O. Box 1005 </w:t>
      </w:r>
      <w:r w:rsidRPr="00497721">
        <w:rPr>
          <w:rFonts w:ascii="Times New Roman" w:hAnsi="Times New Roman"/>
        </w:rPr>
        <w:t>▪</w:t>
      </w:r>
      <w:r w:rsidRPr="00497721">
        <w:rPr>
          <w:rFonts w:ascii="Times New Roman" w:hAnsi="Times New Roman"/>
          <w:color w:val="222222"/>
          <w:sz w:val="24"/>
        </w:rPr>
        <w:t xml:space="preserve"> 3900 Nuuk </w:t>
      </w:r>
      <w:r w:rsidRPr="00497721">
        <w:rPr>
          <w:rFonts w:ascii="Times New Roman" w:hAnsi="Times New Roman"/>
        </w:rPr>
        <w:t>▪</w:t>
      </w:r>
      <w:r w:rsidRPr="00497721">
        <w:rPr>
          <w:rFonts w:ascii="Times New Roman" w:hAnsi="Times New Roman"/>
          <w:color w:val="222222"/>
          <w:sz w:val="24"/>
        </w:rPr>
        <w:t xml:space="preserve"> </w:t>
      </w:r>
      <w:r>
        <w:rPr>
          <w:rFonts w:ascii="Times New Roman" w:hAnsi="Times New Roman"/>
          <w:color w:val="222222"/>
          <w:sz w:val="24"/>
        </w:rPr>
        <w:t>GL-</w:t>
      </w:r>
      <w:r w:rsidRPr="00497721">
        <w:rPr>
          <w:rFonts w:ascii="Times New Roman" w:hAnsi="Times New Roman"/>
          <w:color w:val="222222"/>
          <w:sz w:val="24"/>
        </w:rPr>
        <w:t xml:space="preserve">Greenland </w:t>
      </w:r>
      <w:r w:rsidRPr="00497721">
        <w:rPr>
          <w:rFonts w:ascii="Times New Roman" w:hAnsi="Times New Roman"/>
        </w:rPr>
        <w:t>▪</w:t>
      </w:r>
      <w:r w:rsidRPr="00497721">
        <w:rPr>
          <w:rFonts w:ascii="Times New Roman" w:hAnsi="Times New Roman"/>
          <w:color w:val="222222"/>
          <w:sz w:val="24"/>
        </w:rPr>
        <w:t xml:space="preserve"> (+299) 36 70 00 </w:t>
      </w:r>
      <w:r w:rsidRPr="00497721">
        <w:rPr>
          <w:rFonts w:ascii="Times New Roman" w:hAnsi="Times New Roman"/>
        </w:rPr>
        <w:t xml:space="preserve">▪ </w:t>
      </w:r>
      <w:hyperlink r:id="rId8" w:history="1">
        <w:r w:rsidRPr="00497721">
          <w:rPr>
            <w:rStyle w:val="Hyperlink"/>
            <w:rFonts w:ascii="Times New Roman" w:hAnsi="Times New Roman"/>
            <w:sz w:val="24"/>
          </w:rPr>
          <w:t>kommuneqarfik@sermersooq.gl</w:t>
        </w:r>
      </w:hyperlink>
    </w:p>
    <w:p w14:paraId="3C67CDD9" w14:textId="77777777" w:rsidR="00A104E8" w:rsidRPr="00497721" w:rsidRDefault="00A104E8" w:rsidP="00A104E8">
      <w:pPr>
        <w:pStyle w:val="Listeafsnit"/>
        <w:numPr>
          <w:ilvl w:val="1"/>
          <w:numId w:val="3"/>
        </w:numPr>
        <w:spacing w:after="0"/>
        <w:jc w:val="both"/>
        <w:rPr>
          <w:rFonts w:ascii="Times New Roman" w:hAnsi="Times New Roman"/>
          <w:color w:val="222222"/>
          <w:sz w:val="24"/>
        </w:rPr>
      </w:pPr>
      <w:proofErr w:type="spellStart"/>
      <w:r w:rsidRPr="00497721">
        <w:rPr>
          <w:rFonts w:ascii="Times New Roman" w:hAnsi="Times New Roman"/>
          <w:color w:val="222222"/>
          <w:sz w:val="24"/>
        </w:rPr>
        <w:t>Qeqqata</w:t>
      </w:r>
      <w:proofErr w:type="spellEnd"/>
      <w:r w:rsidRPr="00497721">
        <w:rPr>
          <w:rFonts w:ascii="Times New Roman" w:hAnsi="Times New Roman"/>
          <w:color w:val="222222"/>
          <w:sz w:val="24"/>
        </w:rPr>
        <w:t xml:space="preserve"> </w:t>
      </w:r>
      <w:proofErr w:type="spellStart"/>
      <w:r w:rsidRPr="00497721">
        <w:rPr>
          <w:rFonts w:ascii="Times New Roman" w:hAnsi="Times New Roman"/>
          <w:color w:val="222222"/>
          <w:sz w:val="24"/>
        </w:rPr>
        <w:t>Kommunia</w:t>
      </w:r>
      <w:proofErr w:type="spellEnd"/>
      <w:r w:rsidRPr="00497721">
        <w:rPr>
          <w:rFonts w:ascii="Times New Roman" w:hAnsi="Times New Roman"/>
          <w:color w:val="222222"/>
          <w:sz w:val="24"/>
        </w:rPr>
        <w:t xml:space="preserve"> </w:t>
      </w:r>
      <w:r w:rsidRPr="00497721">
        <w:rPr>
          <w:rFonts w:ascii="Times New Roman" w:hAnsi="Times New Roman"/>
        </w:rPr>
        <w:t xml:space="preserve">▪ </w:t>
      </w:r>
      <w:proofErr w:type="spellStart"/>
      <w:r w:rsidRPr="00497721">
        <w:rPr>
          <w:rFonts w:ascii="Times New Roman" w:hAnsi="Times New Roman"/>
          <w:color w:val="222222"/>
          <w:sz w:val="24"/>
        </w:rPr>
        <w:t>Makkorsip</w:t>
      </w:r>
      <w:proofErr w:type="spellEnd"/>
      <w:r w:rsidRPr="00497721">
        <w:rPr>
          <w:rFonts w:ascii="Times New Roman" w:hAnsi="Times New Roman"/>
          <w:color w:val="222222"/>
          <w:sz w:val="24"/>
        </w:rPr>
        <w:t xml:space="preserve"> </w:t>
      </w:r>
      <w:proofErr w:type="spellStart"/>
      <w:r w:rsidRPr="00497721">
        <w:rPr>
          <w:rFonts w:ascii="Times New Roman" w:hAnsi="Times New Roman"/>
          <w:color w:val="222222"/>
          <w:sz w:val="24"/>
        </w:rPr>
        <w:t>Aqq</w:t>
      </w:r>
      <w:proofErr w:type="spellEnd"/>
      <w:r w:rsidRPr="00497721">
        <w:rPr>
          <w:rFonts w:ascii="Times New Roman" w:hAnsi="Times New Roman"/>
          <w:color w:val="222222"/>
          <w:sz w:val="24"/>
        </w:rPr>
        <w:t xml:space="preserve">. 2 </w:t>
      </w:r>
      <w:r w:rsidRPr="00497721">
        <w:rPr>
          <w:rFonts w:ascii="Times New Roman" w:hAnsi="Times New Roman"/>
        </w:rPr>
        <w:t>▪</w:t>
      </w:r>
      <w:r w:rsidRPr="00497721">
        <w:rPr>
          <w:rFonts w:ascii="Times New Roman" w:hAnsi="Times New Roman"/>
          <w:color w:val="222222"/>
          <w:sz w:val="24"/>
        </w:rPr>
        <w:t xml:space="preserve"> P.O. Box 1014 </w:t>
      </w:r>
      <w:r w:rsidRPr="00497721">
        <w:rPr>
          <w:rFonts w:ascii="Times New Roman" w:hAnsi="Times New Roman"/>
        </w:rPr>
        <w:t>▪</w:t>
      </w:r>
      <w:r w:rsidRPr="00497721">
        <w:rPr>
          <w:rFonts w:ascii="Times New Roman" w:hAnsi="Times New Roman"/>
          <w:color w:val="222222"/>
          <w:sz w:val="24"/>
        </w:rPr>
        <w:t xml:space="preserve"> 3911 Sisimiut </w:t>
      </w:r>
      <w:r w:rsidRPr="00497721">
        <w:rPr>
          <w:rFonts w:ascii="Times New Roman" w:hAnsi="Times New Roman"/>
        </w:rPr>
        <w:t>▪</w:t>
      </w:r>
      <w:r w:rsidRPr="00497721">
        <w:rPr>
          <w:rFonts w:ascii="Times New Roman" w:hAnsi="Times New Roman"/>
          <w:color w:val="222222"/>
          <w:sz w:val="24"/>
        </w:rPr>
        <w:t xml:space="preserve"> </w:t>
      </w:r>
      <w:r>
        <w:rPr>
          <w:rFonts w:ascii="Times New Roman" w:hAnsi="Times New Roman"/>
          <w:color w:val="222222"/>
          <w:sz w:val="24"/>
        </w:rPr>
        <w:t>GL-</w:t>
      </w:r>
      <w:r w:rsidRPr="00497721">
        <w:rPr>
          <w:rFonts w:ascii="Times New Roman" w:hAnsi="Times New Roman"/>
          <w:color w:val="222222"/>
          <w:sz w:val="24"/>
        </w:rPr>
        <w:t xml:space="preserve">Greenland </w:t>
      </w:r>
      <w:r w:rsidRPr="00497721">
        <w:rPr>
          <w:rFonts w:ascii="Times New Roman" w:hAnsi="Times New Roman"/>
        </w:rPr>
        <w:t xml:space="preserve">▪ </w:t>
      </w:r>
      <w:r w:rsidRPr="00497721">
        <w:rPr>
          <w:rFonts w:ascii="Times New Roman" w:hAnsi="Times New Roman"/>
          <w:color w:val="222222"/>
          <w:sz w:val="24"/>
        </w:rPr>
        <w:t xml:space="preserve">(+299) 702100 </w:t>
      </w:r>
      <w:r w:rsidRPr="00497721">
        <w:rPr>
          <w:rFonts w:ascii="Times New Roman" w:hAnsi="Times New Roman"/>
        </w:rPr>
        <w:t xml:space="preserve">▪ </w:t>
      </w:r>
      <w:hyperlink r:id="rId9" w:history="1">
        <w:r w:rsidRPr="00497721">
          <w:rPr>
            <w:rStyle w:val="Hyperlink"/>
            <w:rFonts w:ascii="Times New Roman" w:hAnsi="Times New Roman"/>
            <w:sz w:val="24"/>
          </w:rPr>
          <w:t>qeqqata@qeqqata.gl</w:t>
        </w:r>
      </w:hyperlink>
    </w:p>
    <w:p w14:paraId="7550D5A5" w14:textId="77777777" w:rsidR="00A104E8" w:rsidRPr="00497721" w:rsidRDefault="00A104E8" w:rsidP="00A104E8">
      <w:pPr>
        <w:pStyle w:val="Listeafsnit"/>
        <w:numPr>
          <w:ilvl w:val="1"/>
          <w:numId w:val="3"/>
        </w:numPr>
        <w:spacing w:after="0"/>
        <w:jc w:val="both"/>
        <w:rPr>
          <w:rFonts w:ascii="Times New Roman" w:hAnsi="Times New Roman"/>
          <w:color w:val="222222"/>
          <w:sz w:val="24"/>
        </w:rPr>
      </w:pPr>
      <w:r w:rsidRPr="00497721">
        <w:rPr>
          <w:rFonts w:ascii="Times New Roman" w:hAnsi="Times New Roman"/>
          <w:color w:val="222222"/>
          <w:sz w:val="24"/>
        </w:rPr>
        <w:t xml:space="preserve">Kommune </w:t>
      </w:r>
      <w:proofErr w:type="spellStart"/>
      <w:r w:rsidRPr="00497721">
        <w:rPr>
          <w:rFonts w:ascii="Times New Roman" w:hAnsi="Times New Roman"/>
          <w:color w:val="222222"/>
          <w:sz w:val="24"/>
        </w:rPr>
        <w:t>Kujalleq</w:t>
      </w:r>
      <w:proofErr w:type="spellEnd"/>
      <w:r w:rsidRPr="00497721">
        <w:rPr>
          <w:rFonts w:ascii="Times New Roman" w:hAnsi="Times New Roman"/>
          <w:color w:val="222222"/>
          <w:sz w:val="24"/>
        </w:rPr>
        <w:t xml:space="preserve"> </w:t>
      </w:r>
      <w:r w:rsidRPr="00497721">
        <w:rPr>
          <w:rFonts w:ascii="Times New Roman" w:hAnsi="Times New Roman"/>
        </w:rPr>
        <w:t>▪</w:t>
      </w:r>
      <w:r w:rsidRPr="00497721">
        <w:rPr>
          <w:rFonts w:ascii="Times New Roman" w:hAnsi="Times New Roman"/>
          <w:color w:val="222222"/>
          <w:sz w:val="24"/>
        </w:rPr>
        <w:t xml:space="preserve"> Postboks 514 </w:t>
      </w:r>
      <w:r w:rsidRPr="00497721">
        <w:rPr>
          <w:rFonts w:ascii="Times New Roman" w:hAnsi="Times New Roman"/>
        </w:rPr>
        <w:t>▪</w:t>
      </w:r>
      <w:r w:rsidRPr="00497721">
        <w:rPr>
          <w:rFonts w:ascii="Times New Roman" w:hAnsi="Times New Roman"/>
          <w:color w:val="222222"/>
          <w:sz w:val="24"/>
        </w:rPr>
        <w:t xml:space="preserve"> 3920 Qaqortoq </w:t>
      </w:r>
      <w:r w:rsidRPr="00497721">
        <w:rPr>
          <w:rFonts w:ascii="Times New Roman" w:hAnsi="Times New Roman"/>
        </w:rPr>
        <w:t>▪</w:t>
      </w:r>
      <w:r w:rsidRPr="00497721">
        <w:rPr>
          <w:rFonts w:ascii="Times New Roman" w:hAnsi="Times New Roman"/>
          <w:color w:val="222222"/>
          <w:sz w:val="24"/>
        </w:rPr>
        <w:t xml:space="preserve"> </w:t>
      </w:r>
      <w:r>
        <w:rPr>
          <w:rFonts w:ascii="Times New Roman" w:hAnsi="Times New Roman"/>
          <w:color w:val="222222"/>
          <w:sz w:val="24"/>
        </w:rPr>
        <w:t>GL-</w:t>
      </w:r>
      <w:r w:rsidRPr="00497721">
        <w:rPr>
          <w:rFonts w:ascii="Times New Roman" w:hAnsi="Times New Roman"/>
          <w:color w:val="222222"/>
          <w:sz w:val="24"/>
        </w:rPr>
        <w:t xml:space="preserve">Greenland </w:t>
      </w:r>
      <w:r w:rsidRPr="00497721">
        <w:rPr>
          <w:rFonts w:ascii="Times New Roman" w:hAnsi="Times New Roman"/>
        </w:rPr>
        <w:t>▪</w:t>
      </w:r>
      <w:r w:rsidRPr="00497721">
        <w:rPr>
          <w:rFonts w:ascii="Times New Roman" w:hAnsi="Times New Roman"/>
          <w:color w:val="222222"/>
          <w:sz w:val="24"/>
        </w:rPr>
        <w:t xml:space="preserve"> (+299) 704100 </w:t>
      </w:r>
      <w:r w:rsidRPr="00497721">
        <w:rPr>
          <w:rFonts w:ascii="Times New Roman" w:hAnsi="Times New Roman"/>
        </w:rPr>
        <w:t xml:space="preserve">▪ </w:t>
      </w:r>
      <w:hyperlink r:id="rId10" w:history="1">
        <w:r w:rsidRPr="00497721">
          <w:rPr>
            <w:rStyle w:val="Hyperlink"/>
            <w:rFonts w:ascii="Times New Roman" w:hAnsi="Times New Roman"/>
            <w:sz w:val="24"/>
          </w:rPr>
          <w:t>kommune@kujalleq.gl</w:t>
        </w:r>
      </w:hyperlink>
    </w:p>
    <w:p w14:paraId="392389DB" w14:textId="77777777" w:rsidR="007E16F8" w:rsidRPr="00497721" w:rsidRDefault="007E16F8" w:rsidP="007E16F8">
      <w:pPr>
        <w:pStyle w:val="Listeafsnit"/>
        <w:numPr>
          <w:ilvl w:val="1"/>
          <w:numId w:val="3"/>
        </w:numPr>
        <w:spacing w:after="0"/>
        <w:jc w:val="both"/>
        <w:rPr>
          <w:rFonts w:ascii="Times New Roman" w:hAnsi="Times New Roman"/>
          <w:color w:val="222222"/>
          <w:sz w:val="24"/>
        </w:rPr>
      </w:pPr>
      <w:proofErr w:type="spellStart"/>
      <w:r w:rsidRPr="00497721">
        <w:rPr>
          <w:rFonts w:ascii="Times New Roman" w:hAnsi="Times New Roman"/>
          <w:color w:val="222222"/>
          <w:sz w:val="24"/>
        </w:rPr>
        <w:t>Avannaata</w:t>
      </w:r>
      <w:proofErr w:type="spellEnd"/>
      <w:r w:rsidRPr="00497721">
        <w:rPr>
          <w:rFonts w:ascii="Times New Roman" w:hAnsi="Times New Roman"/>
          <w:color w:val="222222"/>
          <w:sz w:val="24"/>
        </w:rPr>
        <w:t xml:space="preserve"> </w:t>
      </w:r>
      <w:proofErr w:type="spellStart"/>
      <w:r w:rsidRPr="00497721">
        <w:rPr>
          <w:rFonts w:ascii="Times New Roman" w:hAnsi="Times New Roman"/>
          <w:color w:val="222222"/>
          <w:sz w:val="24"/>
        </w:rPr>
        <w:t>Kommunia</w:t>
      </w:r>
      <w:proofErr w:type="spellEnd"/>
      <w:r w:rsidRPr="00497721">
        <w:rPr>
          <w:rFonts w:ascii="Times New Roman" w:hAnsi="Times New Roman"/>
        </w:rPr>
        <w:t xml:space="preserve"> ▪ </w:t>
      </w:r>
      <w:r w:rsidRPr="00497721">
        <w:rPr>
          <w:rFonts w:ascii="Times New Roman" w:hAnsi="Times New Roman"/>
          <w:color w:val="222222"/>
          <w:sz w:val="24"/>
        </w:rPr>
        <w:t xml:space="preserve">Noah </w:t>
      </w:r>
      <w:proofErr w:type="spellStart"/>
      <w:r w:rsidRPr="00497721">
        <w:rPr>
          <w:rFonts w:ascii="Times New Roman" w:hAnsi="Times New Roman"/>
          <w:color w:val="222222"/>
          <w:sz w:val="24"/>
        </w:rPr>
        <w:t>Mølgårdip</w:t>
      </w:r>
      <w:proofErr w:type="spellEnd"/>
      <w:r w:rsidRPr="00497721">
        <w:rPr>
          <w:rFonts w:ascii="Times New Roman" w:hAnsi="Times New Roman"/>
          <w:color w:val="222222"/>
          <w:sz w:val="24"/>
        </w:rPr>
        <w:t xml:space="preserve"> </w:t>
      </w:r>
      <w:proofErr w:type="spellStart"/>
      <w:r w:rsidRPr="00497721">
        <w:rPr>
          <w:rFonts w:ascii="Times New Roman" w:hAnsi="Times New Roman"/>
          <w:color w:val="222222"/>
          <w:sz w:val="24"/>
        </w:rPr>
        <w:t>Aqq</w:t>
      </w:r>
      <w:proofErr w:type="spellEnd"/>
      <w:r w:rsidRPr="00497721">
        <w:rPr>
          <w:rFonts w:ascii="Times New Roman" w:hAnsi="Times New Roman"/>
          <w:color w:val="222222"/>
          <w:sz w:val="24"/>
        </w:rPr>
        <w:t xml:space="preserve">. 9 </w:t>
      </w:r>
      <w:r w:rsidRPr="00497721">
        <w:rPr>
          <w:rFonts w:ascii="Times New Roman" w:hAnsi="Times New Roman"/>
          <w:sz w:val="24"/>
        </w:rPr>
        <w:t xml:space="preserve">▪ </w:t>
      </w:r>
      <w:r w:rsidRPr="00497721">
        <w:rPr>
          <w:rFonts w:ascii="Times New Roman" w:hAnsi="Times New Roman"/>
          <w:color w:val="222222"/>
          <w:sz w:val="24"/>
        </w:rPr>
        <w:t xml:space="preserve">P.O. Box 1023 </w:t>
      </w:r>
      <w:r w:rsidRPr="00497721">
        <w:rPr>
          <w:rFonts w:ascii="Times New Roman" w:hAnsi="Times New Roman"/>
          <w:sz w:val="24"/>
        </w:rPr>
        <w:t xml:space="preserve">▪ </w:t>
      </w:r>
      <w:r w:rsidRPr="00497721">
        <w:rPr>
          <w:rFonts w:ascii="Times New Roman" w:hAnsi="Times New Roman"/>
          <w:color w:val="222222"/>
          <w:sz w:val="24"/>
        </w:rPr>
        <w:t xml:space="preserve">3952 Ilulissat </w:t>
      </w:r>
      <w:r w:rsidRPr="00497721">
        <w:rPr>
          <w:rFonts w:ascii="Times New Roman" w:hAnsi="Times New Roman"/>
          <w:sz w:val="24"/>
        </w:rPr>
        <w:t xml:space="preserve">▪ </w:t>
      </w:r>
      <w:r>
        <w:rPr>
          <w:rFonts w:ascii="Times New Roman" w:hAnsi="Times New Roman"/>
          <w:color w:val="222222"/>
          <w:sz w:val="24"/>
        </w:rPr>
        <w:t>GL-</w:t>
      </w:r>
      <w:r w:rsidRPr="00497721">
        <w:rPr>
          <w:rFonts w:ascii="Times New Roman" w:hAnsi="Times New Roman"/>
          <w:color w:val="222222"/>
          <w:sz w:val="24"/>
        </w:rPr>
        <w:t xml:space="preserve">Greenland </w:t>
      </w:r>
      <w:r w:rsidRPr="00497721">
        <w:rPr>
          <w:rFonts w:ascii="Times New Roman" w:hAnsi="Times New Roman"/>
          <w:sz w:val="24"/>
        </w:rPr>
        <w:t>▪</w:t>
      </w:r>
      <w:r>
        <w:rPr>
          <w:rFonts w:ascii="Times New Roman" w:hAnsi="Times New Roman"/>
          <w:color w:val="222222"/>
          <w:sz w:val="24"/>
        </w:rPr>
        <w:t xml:space="preserve"> </w:t>
      </w:r>
      <w:r w:rsidRPr="00497721">
        <w:rPr>
          <w:rFonts w:ascii="Times New Roman" w:hAnsi="Times New Roman"/>
          <w:color w:val="222222"/>
          <w:sz w:val="24"/>
        </w:rPr>
        <w:t xml:space="preserve">(+299) 701800 </w:t>
      </w:r>
      <w:r w:rsidRPr="00497721">
        <w:rPr>
          <w:rFonts w:ascii="Times New Roman" w:hAnsi="Times New Roman"/>
          <w:sz w:val="24"/>
        </w:rPr>
        <w:t xml:space="preserve">▪ </w:t>
      </w:r>
      <w:hyperlink r:id="rId11" w:history="1">
        <w:r w:rsidRPr="00497721">
          <w:rPr>
            <w:rStyle w:val="Hyperlink"/>
            <w:rFonts w:ascii="Times New Roman" w:hAnsi="Times New Roman"/>
            <w:sz w:val="24"/>
          </w:rPr>
          <w:t>avannaata@avannaata.gl</w:t>
        </w:r>
      </w:hyperlink>
      <w:r w:rsidRPr="00497721">
        <w:rPr>
          <w:rFonts w:ascii="Times New Roman" w:hAnsi="Times New Roman"/>
        </w:rPr>
        <w:t xml:space="preserve"> </w:t>
      </w:r>
    </w:p>
    <w:p w14:paraId="07333A0E" w14:textId="77777777" w:rsidR="00446A20" w:rsidRDefault="00446A20" w:rsidP="00446A20"/>
    <w:p w14:paraId="2976EEAF" w14:textId="46D1017C" w:rsidR="00A104E8" w:rsidRPr="007E16F8" w:rsidRDefault="00446A20" w:rsidP="00A104E8">
      <w:pPr>
        <w:pStyle w:val="Listeafsnit"/>
        <w:numPr>
          <w:ilvl w:val="0"/>
          <w:numId w:val="3"/>
        </w:numPr>
        <w:spacing w:after="0"/>
        <w:jc w:val="both"/>
        <w:rPr>
          <w:rFonts w:ascii="Times New Roman" w:hAnsi="Times New Roman"/>
          <w:color w:val="222222"/>
          <w:sz w:val="24"/>
          <w:lang w:val="en-US"/>
        </w:rPr>
      </w:pPr>
      <w:proofErr w:type="spellStart"/>
      <w:r w:rsidRPr="007E16F8">
        <w:rPr>
          <w:rFonts w:ascii="Times New Roman" w:hAnsi="Times New Roman"/>
          <w:color w:val="222222"/>
          <w:sz w:val="24"/>
          <w:lang w:val="en-US"/>
        </w:rPr>
        <w:t>Atorfillit</w:t>
      </w:r>
      <w:proofErr w:type="spellEnd"/>
      <w:r w:rsidRPr="007E16F8">
        <w:rPr>
          <w:rFonts w:ascii="Times New Roman" w:hAnsi="Times New Roman"/>
          <w:color w:val="222222"/>
          <w:sz w:val="24"/>
          <w:lang w:val="en-US"/>
        </w:rPr>
        <w:t xml:space="preserve"> </w:t>
      </w:r>
      <w:proofErr w:type="spellStart"/>
      <w:r w:rsidRPr="007E16F8">
        <w:rPr>
          <w:rFonts w:ascii="Times New Roman" w:hAnsi="Times New Roman"/>
          <w:color w:val="222222"/>
          <w:sz w:val="24"/>
          <w:lang w:val="en-US"/>
        </w:rPr>
        <w:t>Kattuffiat</w:t>
      </w:r>
      <w:proofErr w:type="spellEnd"/>
      <w:r w:rsidRPr="007E16F8">
        <w:rPr>
          <w:rFonts w:ascii="Times New Roman" w:hAnsi="Times New Roman"/>
          <w:color w:val="222222"/>
          <w:sz w:val="24"/>
          <w:lang w:val="en-US"/>
        </w:rPr>
        <w:t xml:space="preserve"> (AK) (the </w:t>
      </w:r>
      <w:proofErr w:type="spellStart"/>
      <w:r w:rsidRPr="007E16F8">
        <w:rPr>
          <w:rFonts w:ascii="Times New Roman" w:hAnsi="Times New Roman"/>
          <w:color w:val="222222"/>
          <w:sz w:val="24"/>
          <w:lang w:val="en-US"/>
        </w:rPr>
        <w:t>greenland</w:t>
      </w:r>
      <w:proofErr w:type="spellEnd"/>
      <w:r w:rsidRPr="007E16F8">
        <w:rPr>
          <w:rFonts w:ascii="Times New Roman" w:hAnsi="Times New Roman"/>
          <w:color w:val="222222"/>
          <w:sz w:val="24"/>
          <w:lang w:val="en-US"/>
        </w:rPr>
        <w:t xml:space="preserve"> </w:t>
      </w:r>
      <w:proofErr w:type="spellStart"/>
      <w:r w:rsidRPr="007E16F8">
        <w:rPr>
          <w:rFonts w:ascii="Times New Roman" w:hAnsi="Times New Roman"/>
          <w:color w:val="222222"/>
          <w:sz w:val="24"/>
          <w:lang w:val="en-US"/>
        </w:rPr>
        <w:t>organisation</w:t>
      </w:r>
      <w:proofErr w:type="spellEnd"/>
      <w:r w:rsidRPr="007E16F8">
        <w:rPr>
          <w:rFonts w:ascii="Times New Roman" w:hAnsi="Times New Roman"/>
          <w:color w:val="222222"/>
          <w:sz w:val="24"/>
          <w:lang w:val="en-US"/>
        </w:rPr>
        <w:t xml:space="preserve"> for public employees) ▪ </w:t>
      </w:r>
      <w:proofErr w:type="spellStart"/>
      <w:r w:rsidRPr="007E16F8">
        <w:rPr>
          <w:rFonts w:ascii="Times New Roman" w:hAnsi="Times New Roman"/>
          <w:color w:val="222222"/>
          <w:sz w:val="24"/>
          <w:lang w:val="en-US"/>
        </w:rPr>
        <w:t>Quassunnguaq</w:t>
      </w:r>
      <w:proofErr w:type="spellEnd"/>
      <w:r w:rsidRPr="007E16F8">
        <w:rPr>
          <w:rFonts w:ascii="Times New Roman" w:hAnsi="Times New Roman"/>
          <w:color w:val="222222"/>
          <w:sz w:val="24"/>
          <w:lang w:val="en-US"/>
        </w:rPr>
        <w:t xml:space="preserve"> 19 ▪ 3900 Nuuk ▪ GL-Greenland ▪ (+299) 322577 ▪ </w:t>
      </w:r>
      <w:hyperlink r:id="rId12" w:history="1">
        <w:r w:rsidRPr="007E16F8">
          <w:rPr>
            <w:rFonts w:ascii="Times New Roman" w:hAnsi="Times New Roman"/>
            <w:color w:val="222222"/>
            <w:sz w:val="24"/>
            <w:u w:val="single"/>
            <w:lang w:val="en-US"/>
          </w:rPr>
          <w:t>aknuuk@ak.gl</w:t>
        </w:r>
      </w:hyperlink>
    </w:p>
    <w:p w14:paraId="637B6D76" w14:textId="77777777" w:rsidR="00446A20" w:rsidRPr="002B1C68" w:rsidRDefault="00446A20" w:rsidP="00A104E8">
      <w:pPr>
        <w:pStyle w:val="Listeafsnit"/>
        <w:numPr>
          <w:ilvl w:val="0"/>
          <w:numId w:val="3"/>
        </w:numPr>
        <w:spacing w:after="0"/>
        <w:jc w:val="both"/>
        <w:rPr>
          <w:rFonts w:ascii="Times New Roman" w:hAnsi="Times New Roman"/>
          <w:color w:val="222222"/>
          <w:sz w:val="24"/>
          <w:lang w:val="en-US"/>
        </w:rPr>
      </w:pPr>
      <w:r w:rsidRPr="002B1C68">
        <w:rPr>
          <w:rFonts w:ascii="Times New Roman" w:hAnsi="Times New Roman"/>
          <w:color w:val="222222"/>
          <w:sz w:val="24"/>
          <w:lang w:val="en-US"/>
        </w:rPr>
        <w:t xml:space="preserve">Greenland Business Association (GE) ▪ Postbox 73 ▪ Jens Kreutzmanipp Aqq. 3 ▪ 3900 Nuuk ▪ GL-Greenland </w:t>
      </w:r>
      <w:proofErr w:type="gramStart"/>
      <w:r w:rsidRPr="002B1C68">
        <w:rPr>
          <w:rFonts w:ascii="Times New Roman" w:hAnsi="Times New Roman"/>
          <w:color w:val="222222"/>
          <w:sz w:val="24"/>
          <w:lang w:val="en-US"/>
        </w:rPr>
        <w:t>▪  (</w:t>
      </w:r>
      <w:proofErr w:type="gramEnd"/>
      <w:r w:rsidRPr="002B1C68">
        <w:rPr>
          <w:rFonts w:ascii="Times New Roman" w:hAnsi="Times New Roman"/>
          <w:color w:val="222222"/>
          <w:sz w:val="24"/>
          <w:lang w:val="en-US"/>
        </w:rPr>
        <w:t xml:space="preserve">+299) 321500 ▪ </w:t>
      </w:r>
      <w:hyperlink r:id="rId13" w:history="1">
        <w:r w:rsidRPr="007E16F8">
          <w:rPr>
            <w:rFonts w:ascii="Times New Roman" w:hAnsi="Times New Roman"/>
            <w:color w:val="222222"/>
            <w:sz w:val="24"/>
            <w:u w:val="single"/>
            <w:lang w:val="en-US"/>
          </w:rPr>
          <w:t>ga@ga.gl</w:t>
        </w:r>
      </w:hyperlink>
    </w:p>
    <w:p w14:paraId="11233A23" w14:textId="77777777" w:rsidR="00446A20" w:rsidRPr="007E16F8" w:rsidRDefault="00446A20" w:rsidP="00A104E8">
      <w:pPr>
        <w:pStyle w:val="Listeafsnit"/>
        <w:numPr>
          <w:ilvl w:val="0"/>
          <w:numId w:val="3"/>
        </w:numPr>
        <w:spacing w:after="0"/>
        <w:jc w:val="both"/>
        <w:rPr>
          <w:rFonts w:ascii="Times New Roman" w:hAnsi="Times New Roman"/>
          <w:color w:val="222222"/>
          <w:sz w:val="24"/>
          <w:lang w:val="en-US"/>
        </w:rPr>
      </w:pPr>
      <w:proofErr w:type="spellStart"/>
      <w:r w:rsidRPr="007E16F8">
        <w:rPr>
          <w:rFonts w:ascii="Times New Roman" w:hAnsi="Times New Roman"/>
          <w:color w:val="222222"/>
          <w:sz w:val="24"/>
          <w:lang w:val="en-US"/>
        </w:rPr>
        <w:t>Ilinniagartuut</w:t>
      </w:r>
      <w:proofErr w:type="spellEnd"/>
      <w:r w:rsidRPr="007E16F8">
        <w:rPr>
          <w:rFonts w:ascii="Times New Roman" w:hAnsi="Times New Roman"/>
          <w:color w:val="222222"/>
          <w:sz w:val="24"/>
          <w:lang w:val="en-US"/>
        </w:rPr>
        <w:t xml:space="preserve"> </w:t>
      </w:r>
      <w:proofErr w:type="spellStart"/>
      <w:r w:rsidRPr="007E16F8">
        <w:rPr>
          <w:rFonts w:ascii="Times New Roman" w:hAnsi="Times New Roman"/>
          <w:color w:val="222222"/>
          <w:sz w:val="24"/>
          <w:lang w:val="en-US"/>
        </w:rPr>
        <w:t>Kattuffiat</w:t>
      </w:r>
      <w:proofErr w:type="spellEnd"/>
      <w:r w:rsidRPr="007E16F8">
        <w:rPr>
          <w:rFonts w:ascii="Times New Roman" w:hAnsi="Times New Roman"/>
          <w:color w:val="222222"/>
          <w:sz w:val="24"/>
          <w:lang w:val="en-US"/>
        </w:rPr>
        <w:t xml:space="preserve"> (IK/ASG) (the academics' association in Greenland) ▪  </w:t>
      </w:r>
      <w:hyperlink r:id="rId14" w:history="1">
        <w:r w:rsidRPr="007E16F8">
          <w:rPr>
            <w:rFonts w:ascii="Times New Roman" w:hAnsi="Times New Roman"/>
            <w:color w:val="222222"/>
            <w:sz w:val="24"/>
            <w:u w:val="single"/>
            <w:lang w:val="en-US"/>
          </w:rPr>
          <w:t>asg@asg.gl</w:t>
        </w:r>
      </w:hyperlink>
      <w:r w:rsidRPr="007E16F8">
        <w:rPr>
          <w:rFonts w:ascii="Times New Roman" w:hAnsi="Times New Roman"/>
          <w:color w:val="222222"/>
          <w:sz w:val="24"/>
          <w:lang w:val="en-US"/>
        </w:rPr>
        <w:t xml:space="preserve"> </w:t>
      </w:r>
    </w:p>
    <w:p w14:paraId="0F7A0445" w14:textId="77777777" w:rsidR="00446A20" w:rsidRPr="007E16F8" w:rsidRDefault="00446A20" w:rsidP="00A104E8">
      <w:pPr>
        <w:pStyle w:val="Listeafsnit"/>
        <w:numPr>
          <w:ilvl w:val="0"/>
          <w:numId w:val="3"/>
        </w:numPr>
        <w:spacing w:after="0"/>
        <w:jc w:val="both"/>
        <w:rPr>
          <w:rFonts w:ascii="Times New Roman" w:hAnsi="Times New Roman"/>
          <w:color w:val="222222"/>
          <w:sz w:val="24"/>
          <w:lang w:val="en-US"/>
        </w:rPr>
      </w:pPr>
      <w:proofErr w:type="spellStart"/>
      <w:r w:rsidRPr="007E16F8">
        <w:rPr>
          <w:rFonts w:ascii="Times New Roman" w:hAnsi="Times New Roman"/>
          <w:color w:val="222222"/>
          <w:sz w:val="24"/>
          <w:lang w:val="en-US"/>
        </w:rPr>
        <w:t>Ilinniartitsisut</w:t>
      </w:r>
      <w:proofErr w:type="spellEnd"/>
      <w:r w:rsidRPr="007E16F8">
        <w:rPr>
          <w:rFonts w:ascii="Times New Roman" w:hAnsi="Times New Roman"/>
          <w:color w:val="222222"/>
          <w:sz w:val="24"/>
          <w:lang w:val="en-US"/>
        </w:rPr>
        <w:t xml:space="preserve"> </w:t>
      </w:r>
      <w:proofErr w:type="spellStart"/>
      <w:r w:rsidRPr="007E16F8">
        <w:rPr>
          <w:rFonts w:ascii="Times New Roman" w:hAnsi="Times New Roman"/>
          <w:color w:val="222222"/>
          <w:sz w:val="24"/>
          <w:lang w:val="en-US"/>
        </w:rPr>
        <w:t>Meeqqat</w:t>
      </w:r>
      <w:proofErr w:type="spellEnd"/>
      <w:r w:rsidRPr="007E16F8">
        <w:rPr>
          <w:rFonts w:ascii="Times New Roman" w:hAnsi="Times New Roman"/>
          <w:color w:val="222222"/>
          <w:sz w:val="24"/>
          <w:lang w:val="en-US"/>
        </w:rPr>
        <w:t xml:space="preserve"> </w:t>
      </w:r>
      <w:proofErr w:type="spellStart"/>
      <w:r w:rsidRPr="007E16F8">
        <w:rPr>
          <w:rFonts w:ascii="Times New Roman" w:hAnsi="Times New Roman"/>
          <w:color w:val="222222"/>
          <w:sz w:val="24"/>
          <w:lang w:val="en-US"/>
        </w:rPr>
        <w:t>Atuarfianneersut</w:t>
      </w:r>
      <w:proofErr w:type="spellEnd"/>
      <w:r w:rsidRPr="007E16F8">
        <w:rPr>
          <w:rFonts w:ascii="Times New Roman" w:hAnsi="Times New Roman"/>
          <w:color w:val="222222"/>
          <w:sz w:val="24"/>
          <w:lang w:val="en-US"/>
        </w:rPr>
        <w:t xml:space="preserve"> </w:t>
      </w:r>
      <w:proofErr w:type="spellStart"/>
      <w:r w:rsidRPr="007E16F8">
        <w:rPr>
          <w:rFonts w:ascii="Times New Roman" w:hAnsi="Times New Roman"/>
          <w:color w:val="222222"/>
          <w:sz w:val="24"/>
          <w:lang w:val="en-US"/>
        </w:rPr>
        <w:t>Kattuffiat</w:t>
      </w:r>
      <w:proofErr w:type="spellEnd"/>
      <w:r w:rsidRPr="007E16F8">
        <w:rPr>
          <w:rFonts w:ascii="Times New Roman" w:hAnsi="Times New Roman"/>
          <w:color w:val="222222"/>
          <w:sz w:val="24"/>
          <w:lang w:val="en-US"/>
        </w:rPr>
        <w:t xml:space="preserve"> (IMAK) (the teachers' organization) ▪ </w:t>
      </w:r>
      <w:proofErr w:type="spellStart"/>
      <w:r w:rsidRPr="007E16F8">
        <w:rPr>
          <w:rFonts w:ascii="Times New Roman" w:hAnsi="Times New Roman"/>
          <w:color w:val="222222"/>
          <w:sz w:val="24"/>
          <w:lang w:val="en-US"/>
        </w:rPr>
        <w:t>Noorlernut</w:t>
      </w:r>
      <w:proofErr w:type="spellEnd"/>
      <w:r w:rsidRPr="007E16F8">
        <w:rPr>
          <w:rFonts w:ascii="Times New Roman" w:hAnsi="Times New Roman"/>
          <w:color w:val="222222"/>
          <w:sz w:val="24"/>
          <w:lang w:val="en-US"/>
        </w:rPr>
        <w:t xml:space="preserve"> 23 ▪ </w:t>
      </w:r>
      <w:proofErr w:type="spellStart"/>
      <w:r w:rsidRPr="007E16F8">
        <w:rPr>
          <w:rFonts w:ascii="Times New Roman" w:hAnsi="Times New Roman"/>
          <w:color w:val="222222"/>
          <w:sz w:val="24"/>
          <w:lang w:val="en-US"/>
        </w:rPr>
        <w:t>Postboks</w:t>
      </w:r>
      <w:proofErr w:type="spellEnd"/>
      <w:r w:rsidRPr="007E16F8">
        <w:rPr>
          <w:rFonts w:ascii="Times New Roman" w:hAnsi="Times New Roman"/>
          <w:color w:val="222222"/>
          <w:sz w:val="24"/>
          <w:lang w:val="en-US"/>
        </w:rPr>
        <w:t xml:space="preserve"> 867 ▪ 3900 Nuuk ▪ GL-Greenland ▪ (+299) 322550 ▪ </w:t>
      </w:r>
      <w:hyperlink r:id="rId15" w:history="1">
        <w:r w:rsidRPr="007E16F8">
          <w:rPr>
            <w:rFonts w:ascii="Times New Roman" w:hAnsi="Times New Roman"/>
            <w:color w:val="222222"/>
            <w:sz w:val="24"/>
            <w:lang w:val="en-US"/>
          </w:rPr>
          <w:t>imak@imak.gl</w:t>
        </w:r>
      </w:hyperlink>
      <w:r w:rsidRPr="007E16F8">
        <w:rPr>
          <w:rFonts w:ascii="Times New Roman" w:hAnsi="Times New Roman"/>
          <w:color w:val="222222"/>
          <w:sz w:val="24"/>
          <w:lang w:val="en-US"/>
        </w:rPr>
        <w:t xml:space="preserve"> </w:t>
      </w:r>
    </w:p>
    <w:p w14:paraId="57027D58" w14:textId="77777777" w:rsidR="00446A20" w:rsidRPr="007E16F8" w:rsidRDefault="00446A20" w:rsidP="00A104E8">
      <w:pPr>
        <w:pStyle w:val="Listeafsnit"/>
        <w:numPr>
          <w:ilvl w:val="0"/>
          <w:numId w:val="3"/>
        </w:numPr>
        <w:spacing w:after="0"/>
        <w:jc w:val="both"/>
        <w:rPr>
          <w:rFonts w:ascii="Times New Roman" w:hAnsi="Times New Roman"/>
          <w:color w:val="222222"/>
          <w:sz w:val="24"/>
          <w:lang w:val="en-US"/>
        </w:rPr>
      </w:pPr>
      <w:r w:rsidRPr="007E16F8">
        <w:rPr>
          <w:rFonts w:ascii="Times New Roman" w:hAnsi="Times New Roman"/>
          <w:color w:val="222222"/>
          <w:sz w:val="24"/>
          <w:lang w:val="en-US"/>
        </w:rPr>
        <w:t xml:space="preserve">The Association of Fishers and Hunters in Greenland (KNAPK) ▪ Postbox 386 ▪ 3900 Nuuk ▪ Greenland ▪ +299 322422 ▪ </w:t>
      </w:r>
      <w:hyperlink r:id="rId16" w:history="1">
        <w:r w:rsidRPr="007E16F8">
          <w:rPr>
            <w:rFonts w:ascii="Times New Roman" w:hAnsi="Times New Roman"/>
            <w:color w:val="222222"/>
            <w:sz w:val="24"/>
            <w:lang w:val="en-US"/>
          </w:rPr>
          <w:t>knapk@knapk.gl</w:t>
        </w:r>
      </w:hyperlink>
      <w:r w:rsidRPr="007E16F8">
        <w:rPr>
          <w:rFonts w:ascii="Times New Roman" w:hAnsi="Times New Roman"/>
          <w:color w:val="222222"/>
          <w:sz w:val="24"/>
          <w:lang w:val="en-US"/>
        </w:rPr>
        <w:t xml:space="preserve"> </w:t>
      </w:r>
    </w:p>
    <w:p w14:paraId="158F6E3D" w14:textId="77777777" w:rsidR="00446A20" w:rsidRPr="007E16F8" w:rsidRDefault="00446A20" w:rsidP="00A104E8">
      <w:pPr>
        <w:pStyle w:val="Listeafsnit"/>
        <w:numPr>
          <w:ilvl w:val="0"/>
          <w:numId w:val="3"/>
        </w:numPr>
        <w:spacing w:after="0"/>
        <w:jc w:val="both"/>
        <w:rPr>
          <w:rFonts w:ascii="Times New Roman" w:hAnsi="Times New Roman"/>
          <w:color w:val="222222"/>
          <w:sz w:val="24"/>
          <w:lang w:val="en-US"/>
        </w:rPr>
      </w:pPr>
      <w:proofErr w:type="spellStart"/>
      <w:r w:rsidRPr="007E16F8">
        <w:rPr>
          <w:rFonts w:ascii="Times New Roman" w:hAnsi="Times New Roman"/>
          <w:color w:val="222222"/>
          <w:sz w:val="24"/>
          <w:lang w:val="en-US"/>
        </w:rPr>
        <w:lastRenderedPageBreak/>
        <w:t>Sulinermik</w:t>
      </w:r>
      <w:proofErr w:type="spellEnd"/>
      <w:r w:rsidRPr="007E16F8">
        <w:rPr>
          <w:rFonts w:ascii="Times New Roman" w:hAnsi="Times New Roman"/>
          <w:color w:val="222222"/>
          <w:sz w:val="24"/>
          <w:lang w:val="en-US"/>
        </w:rPr>
        <w:t xml:space="preserve"> </w:t>
      </w:r>
      <w:proofErr w:type="spellStart"/>
      <w:r w:rsidRPr="007E16F8">
        <w:rPr>
          <w:rFonts w:ascii="Times New Roman" w:hAnsi="Times New Roman"/>
          <w:color w:val="222222"/>
          <w:sz w:val="24"/>
          <w:lang w:val="en-US"/>
        </w:rPr>
        <w:t>Inuussutissarsiuteqartut</w:t>
      </w:r>
      <w:proofErr w:type="spellEnd"/>
      <w:r w:rsidRPr="007E16F8">
        <w:rPr>
          <w:rFonts w:ascii="Times New Roman" w:hAnsi="Times New Roman"/>
          <w:color w:val="222222"/>
          <w:sz w:val="24"/>
          <w:lang w:val="en-US"/>
        </w:rPr>
        <w:t xml:space="preserve"> </w:t>
      </w:r>
      <w:proofErr w:type="spellStart"/>
      <w:r w:rsidRPr="007E16F8">
        <w:rPr>
          <w:rFonts w:ascii="Times New Roman" w:hAnsi="Times New Roman"/>
          <w:color w:val="222222"/>
          <w:sz w:val="24"/>
          <w:lang w:val="en-US"/>
        </w:rPr>
        <w:t>Kattuffiat</w:t>
      </w:r>
      <w:proofErr w:type="spellEnd"/>
      <w:r w:rsidRPr="007E16F8">
        <w:rPr>
          <w:rFonts w:ascii="Times New Roman" w:hAnsi="Times New Roman"/>
          <w:color w:val="222222"/>
          <w:sz w:val="24"/>
          <w:lang w:val="en-US"/>
        </w:rPr>
        <w:t xml:space="preserve"> (SIK) (the </w:t>
      </w:r>
      <w:proofErr w:type="spellStart"/>
      <w:r w:rsidRPr="007E16F8">
        <w:rPr>
          <w:rFonts w:ascii="Times New Roman" w:hAnsi="Times New Roman"/>
          <w:color w:val="222222"/>
          <w:sz w:val="24"/>
          <w:lang w:val="en-US"/>
        </w:rPr>
        <w:t>organisation</w:t>
      </w:r>
      <w:proofErr w:type="spellEnd"/>
      <w:r w:rsidRPr="007E16F8">
        <w:rPr>
          <w:rFonts w:ascii="Times New Roman" w:hAnsi="Times New Roman"/>
          <w:color w:val="222222"/>
          <w:sz w:val="24"/>
          <w:lang w:val="en-US"/>
        </w:rPr>
        <w:t xml:space="preserve"> for skilled and unskilled worker) ▪ </w:t>
      </w:r>
      <w:proofErr w:type="spellStart"/>
      <w:r w:rsidRPr="007E16F8">
        <w:rPr>
          <w:rFonts w:ascii="Times New Roman" w:hAnsi="Times New Roman"/>
          <w:color w:val="222222"/>
          <w:sz w:val="24"/>
          <w:lang w:val="en-US"/>
        </w:rPr>
        <w:t>Issortarfimmut</w:t>
      </w:r>
      <w:proofErr w:type="spellEnd"/>
      <w:r w:rsidRPr="007E16F8">
        <w:rPr>
          <w:rFonts w:ascii="Times New Roman" w:hAnsi="Times New Roman"/>
          <w:color w:val="222222"/>
          <w:sz w:val="24"/>
          <w:lang w:val="en-US"/>
        </w:rPr>
        <w:t xml:space="preserve"> 11 ▪ P.O. Box 9, 3900 Nuuk ▪ (+299) 322133 ▪ </w:t>
      </w:r>
      <w:hyperlink r:id="rId17" w:history="1">
        <w:r w:rsidRPr="007E16F8">
          <w:rPr>
            <w:rFonts w:ascii="Times New Roman" w:hAnsi="Times New Roman"/>
            <w:color w:val="222222"/>
            <w:sz w:val="24"/>
            <w:lang w:val="en-US"/>
          </w:rPr>
          <w:t>sik@sik.gl</w:t>
        </w:r>
      </w:hyperlink>
      <w:r w:rsidRPr="007E16F8">
        <w:rPr>
          <w:rFonts w:ascii="Times New Roman" w:hAnsi="Times New Roman"/>
          <w:color w:val="222222"/>
          <w:sz w:val="24"/>
          <w:lang w:val="en-US"/>
        </w:rPr>
        <w:t xml:space="preserve"> </w:t>
      </w:r>
    </w:p>
    <w:p w14:paraId="3A84E8C3" w14:textId="77777777" w:rsidR="00446A20" w:rsidRPr="007E16F8" w:rsidRDefault="00446A20" w:rsidP="007E16F8">
      <w:pPr>
        <w:pStyle w:val="Listeafsnit"/>
        <w:numPr>
          <w:ilvl w:val="0"/>
          <w:numId w:val="3"/>
        </w:numPr>
        <w:jc w:val="both"/>
        <w:rPr>
          <w:rFonts w:ascii="Times New Roman" w:hAnsi="Times New Roman"/>
          <w:color w:val="222222"/>
          <w:sz w:val="24"/>
          <w:lang w:val="en-US"/>
        </w:rPr>
      </w:pPr>
      <w:r w:rsidRPr="007E16F8">
        <w:rPr>
          <w:rFonts w:asciiTheme="minorHAnsi" w:hAnsiTheme="minorHAnsi" w:cstheme="minorHAnsi"/>
          <w:lang w:val="en-GB"/>
        </w:rPr>
        <w:t>(</w:t>
      </w:r>
      <w:r w:rsidRPr="007E16F8">
        <w:rPr>
          <w:rFonts w:ascii="Times New Roman" w:hAnsi="Times New Roman"/>
          <w:color w:val="222222"/>
          <w:sz w:val="24"/>
          <w:lang w:val="en-US"/>
        </w:rPr>
        <w:t xml:space="preserve">PPK) </w:t>
      </w:r>
      <w:proofErr w:type="spellStart"/>
      <w:r w:rsidRPr="007E16F8">
        <w:rPr>
          <w:rFonts w:ascii="Times New Roman" w:hAnsi="Times New Roman"/>
          <w:color w:val="222222"/>
          <w:sz w:val="24"/>
          <w:lang w:val="en-US"/>
        </w:rPr>
        <w:t>Sundhedskartellet</w:t>
      </w:r>
      <w:proofErr w:type="spellEnd"/>
      <w:r w:rsidRPr="007E16F8">
        <w:rPr>
          <w:rFonts w:ascii="Times New Roman" w:hAnsi="Times New Roman"/>
          <w:color w:val="222222"/>
          <w:sz w:val="24"/>
          <w:lang w:val="en-US"/>
        </w:rPr>
        <w:t xml:space="preserve"> </w:t>
      </w:r>
      <w:proofErr w:type="spellStart"/>
      <w:r w:rsidRPr="007E16F8">
        <w:rPr>
          <w:rFonts w:ascii="Times New Roman" w:hAnsi="Times New Roman"/>
          <w:color w:val="222222"/>
          <w:sz w:val="24"/>
          <w:lang w:val="en-US"/>
        </w:rPr>
        <w:t>i</w:t>
      </w:r>
      <w:proofErr w:type="spellEnd"/>
      <w:r w:rsidRPr="007E16F8">
        <w:rPr>
          <w:rFonts w:ascii="Times New Roman" w:hAnsi="Times New Roman"/>
          <w:color w:val="222222"/>
          <w:sz w:val="24"/>
          <w:lang w:val="en-US"/>
        </w:rPr>
        <w:t xml:space="preserve"> </w:t>
      </w:r>
      <w:proofErr w:type="spellStart"/>
      <w:r w:rsidRPr="007E16F8">
        <w:rPr>
          <w:rFonts w:ascii="Times New Roman" w:hAnsi="Times New Roman"/>
          <w:color w:val="222222"/>
          <w:sz w:val="24"/>
          <w:lang w:val="en-US"/>
        </w:rPr>
        <w:t>Grønland</w:t>
      </w:r>
      <w:proofErr w:type="spellEnd"/>
      <w:r w:rsidRPr="007E16F8">
        <w:rPr>
          <w:rFonts w:ascii="Times New Roman" w:hAnsi="Times New Roman"/>
          <w:color w:val="222222"/>
          <w:sz w:val="24"/>
          <w:lang w:val="en-US"/>
        </w:rPr>
        <w:t xml:space="preserve"> (the health workers’ union in Greenland) ▪ </w:t>
      </w:r>
      <w:proofErr w:type="spellStart"/>
      <w:r w:rsidRPr="007E16F8">
        <w:rPr>
          <w:rFonts w:ascii="Times New Roman" w:hAnsi="Times New Roman"/>
          <w:color w:val="222222"/>
          <w:sz w:val="24"/>
          <w:lang w:val="en-US"/>
        </w:rPr>
        <w:t>Jagtvej</w:t>
      </w:r>
      <w:proofErr w:type="spellEnd"/>
      <w:r w:rsidRPr="007E16F8">
        <w:rPr>
          <w:rFonts w:ascii="Times New Roman" w:hAnsi="Times New Roman"/>
          <w:color w:val="222222"/>
          <w:sz w:val="24"/>
          <w:lang w:val="en-US"/>
        </w:rPr>
        <w:t xml:space="preserve"> 13 – 1001 </w:t>
      </w:r>
      <w:proofErr w:type="spellStart"/>
      <w:r w:rsidRPr="007E16F8">
        <w:rPr>
          <w:rFonts w:ascii="Times New Roman" w:hAnsi="Times New Roman"/>
          <w:color w:val="222222"/>
          <w:sz w:val="24"/>
          <w:lang w:val="en-US"/>
        </w:rPr>
        <w:t>Postbox</w:t>
      </w:r>
      <w:proofErr w:type="spellEnd"/>
      <w:r w:rsidRPr="007E16F8">
        <w:rPr>
          <w:rFonts w:ascii="Times New Roman" w:hAnsi="Times New Roman"/>
          <w:color w:val="222222"/>
          <w:sz w:val="24"/>
          <w:lang w:val="en-US"/>
        </w:rPr>
        <w:t xml:space="preserve"> 670 3900 Nuuk ▪ </w:t>
      </w:r>
      <w:hyperlink r:id="rId18" w:history="1">
        <w:r w:rsidRPr="007E16F8">
          <w:rPr>
            <w:rFonts w:ascii="Times New Roman" w:hAnsi="Times New Roman"/>
            <w:color w:val="222222"/>
            <w:sz w:val="24"/>
            <w:lang w:val="en-US"/>
          </w:rPr>
          <w:t>sl@pk.gl</w:t>
        </w:r>
      </w:hyperlink>
    </w:p>
    <w:p w14:paraId="17E24913" w14:textId="77777777" w:rsidR="00446A20" w:rsidRPr="007E16F8" w:rsidRDefault="00446A20" w:rsidP="007E16F8">
      <w:pPr>
        <w:pStyle w:val="Listeafsnit"/>
        <w:numPr>
          <w:ilvl w:val="0"/>
          <w:numId w:val="3"/>
        </w:numPr>
        <w:jc w:val="both"/>
        <w:rPr>
          <w:rFonts w:ascii="Times New Roman" w:hAnsi="Times New Roman"/>
          <w:color w:val="222222"/>
          <w:sz w:val="24"/>
          <w:lang w:val="en-US"/>
        </w:rPr>
      </w:pPr>
      <w:r w:rsidRPr="007E16F8">
        <w:rPr>
          <w:rFonts w:ascii="Times New Roman" w:hAnsi="Times New Roman"/>
          <w:color w:val="222222"/>
          <w:sz w:val="24"/>
          <w:lang w:val="en-US"/>
        </w:rPr>
        <w:t xml:space="preserve">Economic and Personnel Agency (ASA) ▪ </w:t>
      </w:r>
      <w:proofErr w:type="spellStart"/>
      <w:r w:rsidRPr="007E16F8">
        <w:rPr>
          <w:rFonts w:ascii="Times New Roman" w:hAnsi="Times New Roman"/>
          <w:color w:val="222222"/>
          <w:sz w:val="24"/>
          <w:lang w:val="en-US"/>
        </w:rPr>
        <w:t>Aqqusinersuaq</w:t>
      </w:r>
      <w:proofErr w:type="spellEnd"/>
      <w:r w:rsidRPr="007E16F8">
        <w:rPr>
          <w:rFonts w:ascii="Times New Roman" w:hAnsi="Times New Roman"/>
          <w:color w:val="222222"/>
          <w:sz w:val="24"/>
          <w:lang w:val="en-US"/>
        </w:rPr>
        <w:t xml:space="preserve"> 5 ▪ P.O. Box 1039 ▪ 3900 Nuuk ▪ </w:t>
      </w:r>
      <w:hyperlink r:id="rId19" w:history="1">
        <w:r w:rsidRPr="007E16F8">
          <w:rPr>
            <w:rFonts w:ascii="Times New Roman" w:hAnsi="Times New Roman"/>
            <w:color w:val="222222"/>
            <w:sz w:val="24"/>
            <w:lang w:val="en-US"/>
          </w:rPr>
          <w:t>asa@nanoq.gl</w:t>
        </w:r>
      </w:hyperlink>
      <w:r w:rsidRPr="007E16F8">
        <w:rPr>
          <w:rFonts w:ascii="Times New Roman" w:hAnsi="Times New Roman"/>
          <w:color w:val="222222"/>
          <w:sz w:val="24"/>
          <w:lang w:val="en-US"/>
        </w:rPr>
        <w:t xml:space="preserve"> </w:t>
      </w:r>
    </w:p>
    <w:p w14:paraId="5F1A1546" w14:textId="77777777" w:rsidR="00446A20" w:rsidRPr="007E16F8" w:rsidRDefault="00446A20" w:rsidP="007E16F8">
      <w:pPr>
        <w:pStyle w:val="Listeafsnit"/>
        <w:numPr>
          <w:ilvl w:val="0"/>
          <w:numId w:val="3"/>
        </w:numPr>
        <w:jc w:val="both"/>
        <w:rPr>
          <w:rFonts w:ascii="Times New Roman" w:hAnsi="Times New Roman"/>
          <w:color w:val="222222"/>
          <w:sz w:val="24"/>
          <w:lang w:val="en-US"/>
        </w:rPr>
      </w:pPr>
      <w:proofErr w:type="spellStart"/>
      <w:r w:rsidRPr="007E16F8">
        <w:rPr>
          <w:rFonts w:ascii="Times New Roman" w:hAnsi="Times New Roman"/>
          <w:color w:val="222222"/>
          <w:sz w:val="24"/>
          <w:lang w:val="en-US"/>
        </w:rPr>
        <w:t>Perorsaasut</w:t>
      </w:r>
      <w:proofErr w:type="spellEnd"/>
      <w:r w:rsidRPr="007E16F8">
        <w:rPr>
          <w:rFonts w:ascii="Times New Roman" w:hAnsi="Times New Roman"/>
          <w:color w:val="222222"/>
          <w:sz w:val="24"/>
          <w:lang w:val="en-US"/>
        </w:rPr>
        <w:t xml:space="preserve"> </w:t>
      </w:r>
      <w:proofErr w:type="spellStart"/>
      <w:r w:rsidRPr="007E16F8">
        <w:rPr>
          <w:rFonts w:ascii="Times New Roman" w:hAnsi="Times New Roman"/>
          <w:color w:val="222222"/>
          <w:sz w:val="24"/>
          <w:lang w:val="en-US"/>
        </w:rPr>
        <w:t>Ilinniarsimasut</w:t>
      </w:r>
      <w:proofErr w:type="spellEnd"/>
      <w:r w:rsidRPr="007E16F8">
        <w:rPr>
          <w:rFonts w:ascii="Times New Roman" w:hAnsi="Times New Roman"/>
          <w:color w:val="222222"/>
          <w:sz w:val="24"/>
          <w:lang w:val="en-US"/>
        </w:rPr>
        <w:t xml:space="preserve"> </w:t>
      </w:r>
      <w:proofErr w:type="spellStart"/>
      <w:r w:rsidRPr="007E16F8">
        <w:rPr>
          <w:rFonts w:ascii="Times New Roman" w:hAnsi="Times New Roman"/>
          <w:color w:val="222222"/>
          <w:sz w:val="24"/>
          <w:lang w:val="en-US"/>
        </w:rPr>
        <w:t>Peqatigiiffiat</w:t>
      </w:r>
      <w:proofErr w:type="spellEnd"/>
      <w:r w:rsidRPr="007E16F8">
        <w:rPr>
          <w:rFonts w:ascii="Times New Roman" w:hAnsi="Times New Roman"/>
          <w:color w:val="222222"/>
          <w:sz w:val="24"/>
          <w:lang w:val="en-US"/>
        </w:rPr>
        <w:t xml:space="preserve"> (PIP) (preschool teachers' trade union) ▪ ALLERIISANNQIVIT B-1540 3920 QAQORTOQ ▪ PIP@PIPKULTUR.GL</w:t>
      </w:r>
    </w:p>
    <w:p w14:paraId="2CEBF1D9" w14:textId="77777777" w:rsidR="00C00691" w:rsidRPr="00446A20" w:rsidRDefault="00C00691" w:rsidP="00C00691">
      <w:pPr>
        <w:pStyle w:val="Listeafsnit"/>
        <w:ind w:left="1440"/>
        <w:jc w:val="both"/>
        <w:rPr>
          <w:rFonts w:asciiTheme="minorHAnsi" w:hAnsiTheme="minorHAnsi" w:cstheme="minorHAnsi"/>
          <w:lang w:val="en-GB"/>
        </w:rPr>
      </w:pPr>
    </w:p>
    <w:p w14:paraId="3F426731" w14:textId="77777777" w:rsidR="00D525A0" w:rsidRDefault="00D525A0" w:rsidP="00D525A0">
      <w:pPr>
        <w:spacing w:after="0"/>
        <w:jc w:val="both"/>
        <w:rPr>
          <w:rFonts w:asciiTheme="minorHAnsi" w:hAnsiTheme="minorHAnsi" w:cstheme="minorHAnsi"/>
          <w:color w:val="222222"/>
          <w:lang w:val="en-GB"/>
        </w:rPr>
      </w:pPr>
      <w:r w:rsidRPr="00D63F00">
        <w:rPr>
          <w:rFonts w:asciiTheme="minorHAnsi" w:hAnsiTheme="minorHAnsi" w:cstheme="minorHAnsi"/>
          <w:color w:val="222222"/>
          <w:lang w:val="en-GB"/>
        </w:rPr>
        <w:t>As a result of the hearings, remarks and comments from the following unions, organizations and other stakeholders have been received:</w:t>
      </w:r>
    </w:p>
    <w:p w14:paraId="717D9212" w14:textId="77777777" w:rsidR="00D525A0" w:rsidRPr="00D63F00" w:rsidRDefault="00D525A0" w:rsidP="00D525A0">
      <w:pPr>
        <w:spacing w:after="0"/>
        <w:jc w:val="both"/>
        <w:rPr>
          <w:rFonts w:asciiTheme="minorHAnsi" w:hAnsiTheme="minorHAnsi" w:cstheme="minorHAnsi"/>
          <w:color w:val="222222"/>
          <w:lang w:val="en-GB"/>
        </w:rPr>
      </w:pPr>
    </w:p>
    <w:p w14:paraId="7959C37B" w14:textId="77777777" w:rsidR="00D525A0" w:rsidRPr="00D63F00" w:rsidRDefault="00D525A0" w:rsidP="00D525A0">
      <w:pPr>
        <w:jc w:val="both"/>
        <w:rPr>
          <w:rFonts w:asciiTheme="minorHAnsi" w:hAnsiTheme="minorHAnsi" w:cstheme="minorHAnsi"/>
          <w:b/>
          <w:color w:val="222222"/>
          <w:lang w:val="en-GB"/>
        </w:rPr>
      </w:pPr>
      <w:r w:rsidRPr="00D63F00">
        <w:rPr>
          <w:rFonts w:asciiTheme="minorHAnsi" w:hAnsiTheme="minorHAnsi" w:cstheme="minorHAnsi"/>
          <w:b/>
          <w:color w:val="222222"/>
          <w:lang w:val="en-GB"/>
        </w:rPr>
        <w:t xml:space="preserve">Consultation response by </w:t>
      </w:r>
      <w:r>
        <w:rPr>
          <w:rFonts w:asciiTheme="minorHAnsi" w:hAnsiTheme="minorHAnsi" w:cstheme="minorHAnsi"/>
          <w:b/>
          <w:bCs/>
          <w:color w:val="222222"/>
          <w:lang w:val="en-GB"/>
        </w:rPr>
        <w:t>[insert]</w:t>
      </w:r>
      <w:r w:rsidRPr="00D63F00">
        <w:rPr>
          <w:rFonts w:asciiTheme="minorHAnsi" w:hAnsiTheme="minorHAnsi" w:cstheme="minorHAnsi"/>
          <w:b/>
          <w:color w:val="222222"/>
          <w:lang w:val="en-GB"/>
        </w:rPr>
        <w:t>:</w:t>
      </w:r>
    </w:p>
    <w:p w14:paraId="03AD4B23" w14:textId="77777777" w:rsidR="00D525A0" w:rsidRPr="00D63F00" w:rsidRDefault="00D525A0" w:rsidP="00D525A0">
      <w:pPr>
        <w:jc w:val="both"/>
        <w:rPr>
          <w:rFonts w:asciiTheme="minorHAnsi" w:hAnsiTheme="minorHAnsi" w:cstheme="minorHAnsi"/>
          <w:color w:val="222222"/>
          <w:lang w:val="en-GB"/>
        </w:rPr>
      </w:pPr>
      <w:r>
        <w:rPr>
          <w:rFonts w:asciiTheme="minorHAnsi" w:hAnsiTheme="minorHAnsi" w:cstheme="minorHAnsi"/>
          <w:color w:val="222222"/>
          <w:lang w:val="en-GB"/>
        </w:rPr>
        <w:t>[insert]</w:t>
      </w:r>
    </w:p>
    <w:p w14:paraId="2A281E29" w14:textId="77777777" w:rsidR="00D525A0" w:rsidRPr="00D63F00" w:rsidRDefault="00D525A0" w:rsidP="00D525A0">
      <w:pPr>
        <w:jc w:val="both"/>
        <w:rPr>
          <w:rFonts w:asciiTheme="minorHAnsi" w:hAnsiTheme="minorHAnsi" w:cstheme="minorHAnsi"/>
          <w:i/>
          <w:color w:val="222222"/>
          <w:lang w:val="en-GB"/>
        </w:rPr>
      </w:pPr>
      <w:r w:rsidRPr="00D63F00">
        <w:rPr>
          <w:rFonts w:asciiTheme="minorHAnsi" w:hAnsiTheme="minorHAnsi" w:cstheme="minorHAnsi"/>
          <w:i/>
          <w:color w:val="222222"/>
          <w:lang w:val="en-GB"/>
        </w:rPr>
        <w:t xml:space="preserve">Comments on the consultation response by </w:t>
      </w:r>
      <w:r w:rsidRPr="005E5129">
        <w:rPr>
          <w:rFonts w:asciiTheme="minorHAnsi" w:hAnsiTheme="minorHAnsi" w:cstheme="minorHAnsi"/>
          <w:color w:val="222222"/>
          <w:highlight w:val="yellow"/>
          <w:lang w:val="en-GB"/>
        </w:rPr>
        <w:t>[insert]</w:t>
      </w:r>
      <w:r w:rsidRPr="00D63F00">
        <w:rPr>
          <w:rFonts w:asciiTheme="minorHAnsi" w:hAnsiTheme="minorHAnsi" w:cstheme="minorHAnsi"/>
          <w:i/>
          <w:color w:val="222222"/>
          <w:lang w:val="en-GB"/>
        </w:rPr>
        <w:t>:</w:t>
      </w:r>
    </w:p>
    <w:p w14:paraId="6019D752" w14:textId="77777777" w:rsidR="00D525A0" w:rsidRPr="00D63F00" w:rsidRDefault="00D525A0" w:rsidP="00D525A0">
      <w:pPr>
        <w:jc w:val="both"/>
        <w:rPr>
          <w:rFonts w:asciiTheme="minorHAnsi" w:hAnsiTheme="minorHAnsi" w:cstheme="minorHAnsi"/>
          <w:color w:val="222222"/>
          <w:lang w:val="en-GB"/>
        </w:rPr>
      </w:pPr>
      <w:r>
        <w:rPr>
          <w:rFonts w:asciiTheme="minorHAnsi" w:hAnsiTheme="minorHAnsi" w:cstheme="minorHAnsi"/>
          <w:color w:val="222222"/>
          <w:lang w:val="en-GB"/>
        </w:rPr>
        <w:t>[insert]</w:t>
      </w:r>
    </w:p>
    <w:p w14:paraId="281104DA" w14:textId="0BC6CE93" w:rsidR="00D525A0" w:rsidRPr="00D63F00" w:rsidRDefault="00D525A0" w:rsidP="00015483">
      <w:pPr>
        <w:spacing w:after="0" w:line="240" w:lineRule="auto"/>
        <w:rPr>
          <w:rFonts w:asciiTheme="minorHAnsi" w:hAnsiTheme="minorHAnsi" w:cstheme="minorHAnsi"/>
          <w:color w:val="222222"/>
          <w:lang w:val="en-GB"/>
        </w:rPr>
      </w:pPr>
      <w:r>
        <w:rPr>
          <w:rFonts w:asciiTheme="minorHAnsi" w:hAnsiTheme="minorHAnsi" w:cstheme="minorHAnsi"/>
          <w:color w:val="222222"/>
          <w:lang w:val="en-GB"/>
        </w:rPr>
        <w:br w:type="page"/>
      </w:r>
    </w:p>
    <w:p w14:paraId="2FF3D645" w14:textId="77777777" w:rsidR="00D525A0" w:rsidRPr="00D63F00" w:rsidRDefault="00D525A0" w:rsidP="00D525A0">
      <w:pPr>
        <w:jc w:val="both"/>
        <w:rPr>
          <w:rFonts w:asciiTheme="minorHAnsi" w:hAnsiTheme="minorHAnsi" w:cstheme="minorHAnsi"/>
          <w:color w:val="222222"/>
          <w:lang w:val="en-GB"/>
        </w:rPr>
      </w:pPr>
    </w:p>
    <w:p w14:paraId="386FDBF3" w14:textId="77777777" w:rsidR="00D525A0" w:rsidRPr="00FA75C3" w:rsidRDefault="00D525A0" w:rsidP="00D525A0">
      <w:pPr>
        <w:jc w:val="both"/>
        <w:rPr>
          <w:rFonts w:cs="Arial"/>
          <w:b/>
          <w:lang w:val="en-GB"/>
        </w:rPr>
      </w:pPr>
      <w:r w:rsidRPr="00FA75C3">
        <w:rPr>
          <w:rFonts w:cs="Arial"/>
          <w:b/>
          <w:lang w:val="en-GB"/>
        </w:rPr>
        <w:t>Appendix</w:t>
      </w:r>
    </w:p>
    <w:p w14:paraId="3655CCAC" w14:textId="77777777" w:rsidR="00D525A0" w:rsidRPr="004B7E60" w:rsidRDefault="00D525A0" w:rsidP="00D525A0">
      <w:pPr>
        <w:pStyle w:val="Listeafsnit"/>
        <w:numPr>
          <w:ilvl w:val="0"/>
          <w:numId w:val="1"/>
        </w:numPr>
        <w:autoSpaceDE w:val="0"/>
        <w:autoSpaceDN w:val="0"/>
        <w:adjustRightInd w:val="0"/>
        <w:spacing w:after="0" w:line="240" w:lineRule="auto"/>
        <w:rPr>
          <w:rFonts w:cs="Calibri"/>
          <w:color w:val="000000"/>
          <w:lang w:val="en-GB" w:eastAsia="da-DK"/>
        </w:rPr>
      </w:pPr>
      <w:r w:rsidRPr="004B7E60">
        <w:rPr>
          <w:rFonts w:cs="Calibri"/>
          <w:color w:val="000000"/>
          <w:lang w:val="en-GB" w:eastAsia="da-DK"/>
        </w:rPr>
        <w:t xml:space="preserve">Consultation answers: </w:t>
      </w:r>
    </w:p>
    <w:p w14:paraId="1499C2B2" w14:textId="77777777" w:rsidR="00D525A0" w:rsidRPr="004B7E60" w:rsidRDefault="00D525A0" w:rsidP="00D525A0">
      <w:pPr>
        <w:pStyle w:val="Listeafsnit"/>
        <w:numPr>
          <w:ilvl w:val="1"/>
          <w:numId w:val="1"/>
        </w:numPr>
        <w:autoSpaceDE w:val="0"/>
        <w:autoSpaceDN w:val="0"/>
        <w:adjustRightInd w:val="0"/>
        <w:spacing w:after="61" w:line="240" w:lineRule="auto"/>
        <w:rPr>
          <w:rFonts w:cs="Calibri"/>
          <w:color w:val="000000"/>
          <w:lang w:val="en-GB" w:eastAsia="da-DK"/>
        </w:rPr>
      </w:pPr>
      <w:r w:rsidRPr="004B7E60">
        <w:rPr>
          <w:rFonts w:cs="Calibri"/>
          <w:color w:val="000000"/>
          <w:lang w:val="en-GB" w:eastAsia="da-DK"/>
        </w:rPr>
        <w:t xml:space="preserve">Danish originals </w:t>
      </w:r>
    </w:p>
    <w:p w14:paraId="69CEE2D4" w14:textId="77777777" w:rsidR="00D525A0" w:rsidRPr="004B7E60" w:rsidRDefault="00D525A0" w:rsidP="00D525A0">
      <w:pPr>
        <w:pStyle w:val="Listeafsnit"/>
        <w:numPr>
          <w:ilvl w:val="1"/>
          <w:numId w:val="1"/>
        </w:numPr>
        <w:autoSpaceDE w:val="0"/>
        <w:autoSpaceDN w:val="0"/>
        <w:adjustRightInd w:val="0"/>
        <w:spacing w:after="0" w:line="240" w:lineRule="auto"/>
        <w:rPr>
          <w:rFonts w:cs="Calibri"/>
          <w:color w:val="000000"/>
          <w:lang w:val="en-GB" w:eastAsia="da-DK"/>
        </w:rPr>
      </w:pPr>
      <w:r w:rsidRPr="004B7E60">
        <w:rPr>
          <w:rFonts w:cs="Calibri"/>
          <w:color w:val="000000"/>
          <w:lang w:val="en-GB" w:eastAsia="da-DK"/>
        </w:rPr>
        <w:t xml:space="preserve">English translations </w:t>
      </w:r>
    </w:p>
    <w:p w14:paraId="40E0D9C0" w14:textId="77777777" w:rsidR="00D525A0" w:rsidRPr="009E2BE7" w:rsidRDefault="00D525A0" w:rsidP="00D525A0">
      <w:pPr>
        <w:ind w:left="360"/>
        <w:jc w:val="both"/>
        <w:rPr>
          <w:rFonts w:cs="Calibri"/>
          <w:lang w:val="en-GB"/>
        </w:rPr>
      </w:pPr>
    </w:p>
    <w:p w14:paraId="0D0E6276" w14:textId="77777777" w:rsidR="00D525A0" w:rsidRPr="00FA75C3" w:rsidRDefault="00D525A0" w:rsidP="00D525A0">
      <w:pPr>
        <w:ind w:left="360"/>
        <w:rPr>
          <w:rFonts w:cs="Arial"/>
          <w:lang w:val="en-GB"/>
        </w:rPr>
      </w:pPr>
    </w:p>
    <w:p w14:paraId="7BE3F5D2" w14:textId="77777777" w:rsidR="00D525A0" w:rsidRPr="00FA75C3" w:rsidRDefault="00D525A0" w:rsidP="00D525A0">
      <w:pPr>
        <w:jc w:val="both"/>
        <w:rPr>
          <w:rFonts w:cs="Arial"/>
          <w:lang w:val="en-GB"/>
        </w:rPr>
      </w:pPr>
    </w:p>
    <w:p w14:paraId="3F949640" w14:textId="77777777" w:rsidR="00D552BF" w:rsidRDefault="00D552BF"/>
    <w:sectPr w:rsidR="00D552BF" w:rsidSect="006F78FA">
      <w:footerReference w:type="default" r:id="rId20"/>
      <w:footerReference w:type="first" r:id="rId21"/>
      <w:pgSz w:w="11906" w:h="16838" w:code="9"/>
      <w:pgMar w:top="1701" w:right="1134" w:bottom="1701" w:left="1134"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204AA" w14:textId="77777777" w:rsidR="001C68B3" w:rsidRDefault="001C68B3">
      <w:pPr>
        <w:spacing w:after="0" w:line="240" w:lineRule="auto"/>
      </w:pPr>
      <w:r>
        <w:separator/>
      </w:r>
    </w:p>
  </w:endnote>
  <w:endnote w:type="continuationSeparator" w:id="0">
    <w:p w14:paraId="33318CD7" w14:textId="77777777" w:rsidR="001C68B3" w:rsidRDefault="001C6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A78E4" w14:textId="77777777" w:rsidR="00986E1B" w:rsidRDefault="00015483">
    <w:pPr>
      <w:pStyle w:val="Sidefod"/>
      <w:jc w:val="right"/>
    </w:pPr>
    <w:r>
      <w:fldChar w:fldCharType="begin"/>
    </w:r>
    <w:r>
      <w:instrText>PAGE   \* MERGEFORMAT</w:instrText>
    </w:r>
    <w:r>
      <w:fldChar w:fldCharType="separate"/>
    </w:r>
    <w:r>
      <w:rPr>
        <w:noProof/>
      </w:rPr>
      <w:t>2</w:t>
    </w:r>
    <w:r>
      <w:fldChar w:fldCharType="end"/>
    </w:r>
  </w:p>
  <w:p w14:paraId="70DCA98D" w14:textId="77777777" w:rsidR="00874C50" w:rsidRDefault="001C68B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340232"/>
      <w:docPartObj>
        <w:docPartGallery w:val="Page Numbers (Bottom of Page)"/>
        <w:docPartUnique/>
      </w:docPartObj>
    </w:sdtPr>
    <w:sdtEndPr/>
    <w:sdtContent>
      <w:p w14:paraId="249CD347" w14:textId="77777777" w:rsidR="00882E4E" w:rsidRDefault="00015483">
        <w:pPr>
          <w:pStyle w:val="Sidefod"/>
          <w:jc w:val="right"/>
        </w:pPr>
        <w:r>
          <w:fldChar w:fldCharType="begin"/>
        </w:r>
        <w:r>
          <w:instrText>PAGE   \* MERGEFORMAT</w:instrText>
        </w:r>
        <w:r>
          <w:fldChar w:fldCharType="separate"/>
        </w:r>
        <w:r>
          <w:rPr>
            <w:noProof/>
          </w:rPr>
          <w:t>1</w:t>
        </w:r>
        <w:r>
          <w:fldChar w:fldCharType="end"/>
        </w:r>
      </w:p>
    </w:sdtContent>
  </w:sdt>
  <w:p w14:paraId="2F620F94" w14:textId="77777777" w:rsidR="005A226D" w:rsidRDefault="001C68B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7FF7B" w14:textId="77777777" w:rsidR="001C68B3" w:rsidRDefault="001C68B3">
      <w:pPr>
        <w:spacing w:after="0" w:line="240" w:lineRule="auto"/>
      </w:pPr>
      <w:r>
        <w:separator/>
      </w:r>
    </w:p>
  </w:footnote>
  <w:footnote w:type="continuationSeparator" w:id="0">
    <w:p w14:paraId="0F6F6FD5" w14:textId="77777777" w:rsidR="001C68B3" w:rsidRDefault="001C6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0117"/>
    <w:multiLevelType w:val="hybridMultilevel"/>
    <w:tmpl w:val="7F9A9974"/>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abstractNum w:abstractNumId="1" w15:restartNumberingAfterBreak="0">
    <w:nsid w:val="1FC462BB"/>
    <w:multiLevelType w:val="hybridMultilevel"/>
    <w:tmpl w:val="C22ED40C"/>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2E5648C5"/>
    <w:multiLevelType w:val="hybridMultilevel"/>
    <w:tmpl w:val="7EE2245A"/>
    <w:lvl w:ilvl="0" w:tplc="532A0BCC">
      <w:start w:val="1"/>
      <w:numFmt w:val="bullet"/>
      <w:lvlText w:val=""/>
      <w:lvlJc w:val="left"/>
      <w:pPr>
        <w:ind w:left="720" w:hanging="360"/>
      </w:pPr>
      <w:rPr>
        <w:rFonts w:ascii="Symbol" w:hAnsi="Symbol" w:hint="default"/>
        <w:lang w:val="da-DK"/>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C5A32DD"/>
    <w:multiLevelType w:val="hybridMultilevel"/>
    <w:tmpl w:val="EAC87B2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0E04D2F"/>
    <w:multiLevelType w:val="hybridMultilevel"/>
    <w:tmpl w:val="1F484FB4"/>
    <w:lvl w:ilvl="0" w:tplc="046F0001">
      <w:start w:val="1"/>
      <w:numFmt w:val="bullet"/>
      <w:lvlText w:val=""/>
      <w:lvlJc w:val="left"/>
      <w:pPr>
        <w:ind w:left="644" w:hanging="360"/>
      </w:pPr>
      <w:rPr>
        <w:rFonts w:ascii="Symbol" w:hAnsi="Symbol" w:hint="default"/>
      </w:rPr>
    </w:lvl>
    <w:lvl w:ilvl="1" w:tplc="046F0003" w:tentative="1">
      <w:start w:val="1"/>
      <w:numFmt w:val="bullet"/>
      <w:lvlText w:val="o"/>
      <w:lvlJc w:val="left"/>
      <w:pPr>
        <w:ind w:left="1364" w:hanging="360"/>
      </w:pPr>
      <w:rPr>
        <w:rFonts w:ascii="Courier New" w:hAnsi="Courier New" w:cs="Courier New" w:hint="default"/>
      </w:rPr>
    </w:lvl>
    <w:lvl w:ilvl="2" w:tplc="046F0005" w:tentative="1">
      <w:start w:val="1"/>
      <w:numFmt w:val="bullet"/>
      <w:lvlText w:val=""/>
      <w:lvlJc w:val="left"/>
      <w:pPr>
        <w:ind w:left="2084" w:hanging="360"/>
      </w:pPr>
      <w:rPr>
        <w:rFonts w:ascii="Wingdings" w:hAnsi="Wingdings" w:hint="default"/>
      </w:rPr>
    </w:lvl>
    <w:lvl w:ilvl="3" w:tplc="046F0001" w:tentative="1">
      <w:start w:val="1"/>
      <w:numFmt w:val="bullet"/>
      <w:lvlText w:val=""/>
      <w:lvlJc w:val="left"/>
      <w:pPr>
        <w:ind w:left="2804" w:hanging="360"/>
      </w:pPr>
      <w:rPr>
        <w:rFonts w:ascii="Symbol" w:hAnsi="Symbol" w:hint="default"/>
      </w:rPr>
    </w:lvl>
    <w:lvl w:ilvl="4" w:tplc="046F0003" w:tentative="1">
      <w:start w:val="1"/>
      <w:numFmt w:val="bullet"/>
      <w:lvlText w:val="o"/>
      <w:lvlJc w:val="left"/>
      <w:pPr>
        <w:ind w:left="3524" w:hanging="360"/>
      </w:pPr>
      <w:rPr>
        <w:rFonts w:ascii="Courier New" w:hAnsi="Courier New" w:cs="Courier New" w:hint="default"/>
      </w:rPr>
    </w:lvl>
    <w:lvl w:ilvl="5" w:tplc="046F0005" w:tentative="1">
      <w:start w:val="1"/>
      <w:numFmt w:val="bullet"/>
      <w:lvlText w:val=""/>
      <w:lvlJc w:val="left"/>
      <w:pPr>
        <w:ind w:left="4244" w:hanging="360"/>
      </w:pPr>
      <w:rPr>
        <w:rFonts w:ascii="Wingdings" w:hAnsi="Wingdings" w:hint="default"/>
      </w:rPr>
    </w:lvl>
    <w:lvl w:ilvl="6" w:tplc="046F0001" w:tentative="1">
      <w:start w:val="1"/>
      <w:numFmt w:val="bullet"/>
      <w:lvlText w:val=""/>
      <w:lvlJc w:val="left"/>
      <w:pPr>
        <w:ind w:left="4964" w:hanging="360"/>
      </w:pPr>
      <w:rPr>
        <w:rFonts w:ascii="Symbol" w:hAnsi="Symbol" w:hint="default"/>
      </w:rPr>
    </w:lvl>
    <w:lvl w:ilvl="7" w:tplc="046F0003" w:tentative="1">
      <w:start w:val="1"/>
      <w:numFmt w:val="bullet"/>
      <w:lvlText w:val="o"/>
      <w:lvlJc w:val="left"/>
      <w:pPr>
        <w:ind w:left="5684" w:hanging="360"/>
      </w:pPr>
      <w:rPr>
        <w:rFonts w:ascii="Courier New" w:hAnsi="Courier New" w:cs="Courier New" w:hint="default"/>
      </w:rPr>
    </w:lvl>
    <w:lvl w:ilvl="8" w:tplc="046F0005" w:tentative="1">
      <w:start w:val="1"/>
      <w:numFmt w:val="bullet"/>
      <w:lvlText w:val=""/>
      <w:lvlJc w:val="left"/>
      <w:pPr>
        <w:ind w:left="6404" w:hanging="360"/>
      </w:pPr>
      <w:rPr>
        <w:rFonts w:ascii="Wingdings" w:hAnsi="Wingdings" w:hint="default"/>
      </w:rPr>
    </w:lvl>
  </w:abstractNum>
  <w:abstractNum w:abstractNumId="5" w15:restartNumberingAfterBreak="0">
    <w:nsid w:val="7FD85E4C"/>
    <w:multiLevelType w:val="hybridMultilevel"/>
    <w:tmpl w:val="BEA6689C"/>
    <w:lvl w:ilvl="0" w:tplc="046F0001">
      <w:start w:val="1"/>
      <w:numFmt w:val="bullet"/>
      <w:lvlText w:val=""/>
      <w:lvlJc w:val="left"/>
      <w:pPr>
        <w:ind w:left="720" w:hanging="360"/>
      </w:pPr>
      <w:rPr>
        <w:rFonts w:ascii="Symbol" w:hAnsi="Symbol" w:hint="default"/>
      </w:rPr>
    </w:lvl>
    <w:lvl w:ilvl="1" w:tplc="046F0003" w:tentative="1">
      <w:start w:val="1"/>
      <w:numFmt w:val="bullet"/>
      <w:lvlText w:val="o"/>
      <w:lvlJc w:val="left"/>
      <w:pPr>
        <w:ind w:left="1440" w:hanging="360"/>
      </w:pPr>
      <w:rPr>
        <w:rFonts w:ascii="Courier New" w:hAnsi="Courier New" w:cs="Courier New" w:hint="default"/>
      </w:rPr>
    </w:lvl>
    <w:lvl w:ilvl="2" w:tplc="046F0005" w:tentative="1">
      <w:start w:val="1"/>
      <w:numFmt w:val="bullet"/>
      <w:lvlText w:val=""/>
      <w:lvlJc w:val="left"/>
      <w:pPr>
        <w:ind w:left="2160" w:hanging="360"/>
      </w:pPr>
      <w:rPr>
        <w:rFonts w:ascii="Wingdings" w:hAnsi="Wingdings" w:hint="default"/>
      </w:rPr>
    </w:lvl>
    <w:lvl w:ilvl="3" w:tplc="046F0001" w:tentative="1">
      <w:start w:val="1"/>
      <w:numFmt w:val="bullet"/>
      <w:lvlText w:val=""/>
      <w:lvlJc w:val="left"/>
      <w:pPr>
        <w:ind w:left="2880" w:hanging="360"/>
      </w:pPr>
      <w:rPr>
        <w:rFonts w:ascii="Symbol" w:hAnsi="Symbol" w:hint="default"/>
      </w:rPr>
    </w:lvl>
    <w:lvl w:ilvl="4" w:tplc="046F0003" w:tentative="1">
      <w:start w:val="1"/>
      <w:numFmt w:val="bullet"/>
      <w:lvlText w:val="o"/>
      <w:lvlJc w:val="left"/>
      <w:pPr>
        <w:ind w:left="3600" w:hanging="360"/>
      </w:pPr>
      <w:rPr>
        <w:rFonts w:ascii="Courier New" w:hAnsi="Courier New" w:cs="Courier New" w:hint="default"/>
      </w:rPr>
    </w:lvl>
    <w:lvl w:ilvl="5" w:tplc="046F0005" w:tentative="1">
      <w:start w:val="1"/>
      <w:numFmt w:val="bullet"/>
      <w:lvlText w:val=""/>
      <w:lvlJc w:val="left"/>
      <w:pPr>
        <w:ind w:left="4320" w:hanging="360"/>
      </w:pPr>
      <w:rPr>
        <w:rFonts w:ascii="Wingdings" w:hAnsi="Wingdings" w:hint="default"/>
      </w:rPr>
    </w:lvl>
    <w:lvl w:ilvl="6" w:tplc="046F0001" w:tentative="1">
      <w:start w:val="1"/>
      <w:numFmt w:val="bullet"/>
      <w:lvlText w:val=""/>
      <w:lvlJc w:val="left"/>
      <w:pPr>
        <w:ind w:left="5040" w:hanging="360"/>
      </w:pPr>
      <w:rPr>
        <w:rFonts w:ascii="Symbol" w:hAnsi="Symbol" w:hint="default"/>
      </w:rPr>
    </w:lvl>
    <w:lvl w:ilvl="7" w:tplc="046F0003" w:tentative="1">
      <w:start w:val="1"/>
      <w:numFmt w:val="bullet"/>
      <w:lvlText w:val="o"/>
      <w:lvlJc w:val="left"/>
      <w:pPr>
        <w:ind w:left="5760" w:hanging="360"/>
      </w:pPr>
      <w:rPr>
        <w:rFonts w:ascii="Courier New" w:hAnsi="Courier New" w:cs="Courier New" w:hint="default"/>
      </w:rPr>
    </w:lvl>
    <w:lvl w:ilvl="8" w:tplc="046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5A0"/>
    <w:rsid w:val="00015483"/>
    <w:rsid w:val="000220E3"/>
    <w:rsid w:val="001C68B3"/>
    <w:rsid w:val="002B1C68"/>
    <w:rsid w:val="00446A20"/>
    <w:rsid w:val="00482D80"/>
    <w:rsid w:val="00745496"/>
    <w:rsid w:val="00795600"/>
    <w:rsid w:val="007E16F8"/>
    <w:rsid w:val="00A104E8"/>
    <w:rsid w:val="00C00691"/>
    <w:rsid w:val="00CE15EA"/>
    <w:rsid w:val="00D525A0"/>
    <w:rsid w:val="00D552BF"/>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E14C628"/>
  <w15:chartTrackingRefBased/>
  <w15:docId w15:val="{B2D5F7CD-8927-4737-A870-77DC5EAA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kl-G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5A0"/>
    <w:pPr>
      <w:spacing w:after="200" w:line="276" w:lineRule="auto"/>
    </w:pPr>
    <w:rPr>
      <w:rFonts w:ascii="Calibri" w:eastAsia="Calibri" w:hAnsi="Calibri" w:cs="Times New Roman"/>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unhideWhenUsed/>
    <w:rsid w:val="00D525A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525A0"/>
    <w:rPr>
      <w:rFonts w:ascii="Calibri" w:eastAsia="Calibri" w:hAnsi="Calibri" w:cs="Times New Roman"/>
      <w:lang w:val="da-DK"/>
    </w:rPr>
  </w:style>
  <w:style w:type="character" w:styleId="Hyperlink">
    <w:name w:val="Hyperlink"/>
    <w:basedOn w:val="Standardskrifttypeiafsnit"/>
    <w:uiPriority w:val="99"/>
    <w:unhideWhenUsed/>
    <w:rsid w:val="00D525A0"/>
    <w:rPr>
      <w:color w:val="0563C1" w:themeColor="hyperlink"/>
      <w:u w:val="single"/>
    </w:rPr>
  </w:style>
  <w:style w:type="paragraph" w:styleId="Listeafsnit">
    <w:name w:val="List Paragraph"/>
    <w:basedOn w:val="Normal"/>
    <w:uiPriority w:val="34"/>
    <w:qFormat/>
    <w:rsid w:val="00D525A0"/>
    <w:pPr>
      <w:ind w:left="720"/>
      <w:contextualSpacing/>
    </w:pPr>
  </w:style>
  <w:style w:type="paragraph" w:styleId="Markeringsbobletekst">
    <w:name w:val="Balloon Text"/>
    <w:basedOn w:val="Normal"/>
    <w:link w:val="MarkeringsbobletekstTegn"/>
    <w:uiPriority w:val="99"/>
    <w:semiHidden/>
    <w:unhideWhenUsed/>
    <w:rsid w:val="00C00691"/>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00691"/>
    <w:rPr>
      <w:rFonts w:ascii="Segoe UI" w:eastAsia="Calibri" w:hAnsi="Segoe UI" w:cs="Segoe UI"/>
      <w:sz w:val="18"/>
      <w:szCs w:val="18"/>
      <w:lang w:val="da-DK"/>
    </w:rPr>
  </w:style>
  <w:style w:type="paragraph" w:customStyle="1" w:styleId="Default">
    <w:name w:val="Default"/>
    <w:rsid w:val="000220E3"/>
    <w:pPr>
      <w:autoSpaceDE w:val="0"/>
      <w:autoSpaceDN w:val="0"/>
      <w:adjustRightInd w:val="0"/>
      <w:spacing w:after="0" w:line="240" w:lineRule="auto"/>
    </w:pPr>
    <w:rPr>
      <w:rFonts w:ascii="Times New Roman" w:eastAsia="Calibri" w:hAnsi="Times New Roman" w:cs="Times New Roman"/>
      <w:color w:val="000000"/>
      <w:sz w:val="24"/>
      <w:szCs w:val="24"/>
      <w:lang w:eastAsia="da-DK"/>
    </w:rPr>
  </w:style>
  <w:style w:type="paragraph" w:styleId="NormalWeb">
    <w:name w:val="Normal (Web)"/>
    <w:basedOn w:val="Normal"/>
    <w:uiPriority w:val="99"/>
    <w:unhideWhenUsed/>
    <w:rsid w:val="000220E3"/>
    <w:pPr>
      <w:spacing w:before="100" w:beforeAutospacing="1" w:after="100" w:afterAutospacing="1" w:line="240" w:lineRule="auto"/>
    </w:pPr>
    <w:rPr>
      <w:rFonts w:ascii="Times New Roman" w:eastAsia="Times New Roman" w:hAnsi="Times New Roman"/>
      <w:sz w:val="24"/>
      <w:szCs w:val="24"/>
      <w:lang w:eastAsia="da-DK"/>
    </w:rPr>
  </w:style>
  <w:style w:type="paragraph" w:styleId="Kommentartekst">
    <w:name w:val="annotation text"/>
    <w:basedOn w:val="Normal"/>
    <w:link w:val="KommentartekstTegn"/>
    <w:uiPriority w:val="99"/>
    <w:unhideWhenUsed/>
    <w:rsid w:val="000220E3"/>
    <w:pPr>
      <w:spacing w:after="160" w:line="240" w:lineRule="auto"/>
    </w:pPr>
    <w:rPr>
      <w:rFonts w:asciiTheme="minorHAnsi" w:eastAsiaTheme="minorHAnsi" w:hAnsiTheme="minorHAnsi" w:cstheme="minorBidi"/>
      <w:sz w:val="20"/>
      <w:szCs w:val="20"/>
      <w:lang w:val="kl-GL"/>
    </w:rPr>
  </w:style>
  <w:style w:type="character" w:customStyle="1" w:styleId="KommentartekstTegn">
    <w:name w:val="Kommentartekst Tegn"/>
    <w:basedOn w:val="Standardskrifttypeiafsnit"/>
    <w:link w:val="Kommentartekst"/>
    <w:uiPriority w:val="99"/>
    <w:rsid w:val="000220E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muneqarfik@sermersooq.gl" TargetMode="External"/><Relationship Id="rId13" Type="http://schemas.openxmlformats.org/officeDocument/2006/relationships/hyperlink" Target="mailto:ga@ga.gl" TargetMode="External"/><Relationship Id="rId18" Type="http://schemas.openxmlformats.org/officeDocument/2006/relationships/hyperlink" Target="mailto:sl@pk.g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tusagassiivik@qeqertalik.gl" TargetMode="External"/><Relationship Id="rId12" Type="http://schemas.openxmlformats.org/officeDocument/2006/relationships/hyperlink" Target="mailto:aknuuk@ak.gl" TargetMode="External"/><Relationship Id="rId17" Type="http://schemas.openxmlformats.org/officeDocument/2006/relationships/hyperlink" Target="mailto:sik@sik.gl" TargetMode="External"/><Relationship Id="rId2" Type="http://schemas.openxmlformats.org/officeDocument/2006/relationships/styles" Target="styles.xml"/><Relationship Id="rId16" Type="http://schemas.openxmlformats.org/officeDocument/2006/relationships/hyperlink" Target="mailto:knapk@knapk.g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vannaata@avannaata.gl" TargetMode="External"/><Relationship Id="rId5" Type="http://schemas.openxmlformats.org/officeDocument/2006/relationships/footnotes" Target="footnotes.xml"/><Relationship Id="rId15" Type="http://schemas.openxmlformats.org/officeDocument/2006/relationships/hyperlink" Target="mailto:imak@imak.gl" TargetMode="External"/><Relationship Id="rId23" Type="http://schemas.openxmlformats.org/officeDocument/2006/relationships/theme" Target="theme/theme1.xml"/><Relationship Id="rId10" Type="http://schemas.openxmlformats.org/officeDocument/2006/relationships/hyperlink" Target="mailto:kommune@kujalleq.gl" TargetMode="External"/><Relationship Id="rId19" Type="http://schemas.openxmlformats.org/officeDocument/2006/relationships/hyperlink" Target="mailto:asa@nanoq.gl" TargetMode="External"/><Relationship Id="rId4" Type="http://schemas.openxmlformats.org/officeDocument/2006/relationships/webSettings" Target="webSettings.xml"/><Relationship Id="rId9" Type="http://schemas.openxmlformats.org/officeDocument/2006/relationships/hyperlink" Target="mailto:qeqqata@qeqqata.gl" TargetMode="External"/><Relationship Id="rId14" Type="http://schemas.openxmlformats.org/officeDocument/2006/relationships/hyperlink" Target="mailto:asg@asg.gl"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2904</Words>
  <Characters>16555</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Naalakkersuisut</Company>
  <LinksUpToDate>false</LinksUpToDate>
  <CharactersWithSpaces>19421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Hove</dc:creator>
  <cp:keywords/>
  <dc:description/>
  <cp:lastModifiedBy>Anders Hove</cp:lastModifiedBy>
  <cp:revision>11</cp:revision>
  <dcterms:created xsi:type="dcterms:W3CDTF">2021-07-08T23:55:00Z</dcterms:created>
  <dcterms:modified xsi:type="dcterms:W3CDTF">2021-07-09T00:18:00Z</dcterms:modified>
</cp:coreProperties>
</file>