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81DC" w14:textId="6649CABD" w:rsidR="007673A4" w:rsidRDefault="007673A4" w:rsidP="007673A4">
      <w:pPr>
        <w:pStyle w:val="Heading3"/>
      </w:pPr>
      <w:r>
        <w:t>3</w:t>
      </w:r>
    </w:p>
    <w:p w14:paraId="1A464148" w14:textId="77777777" w:rsidR="007673A4" w:rsidRPr="00EE69A9" w:rsidRDefault="007673A4" w:rsidP="009D3A28">
      <w:pPr>
        <w:pStyle w:val="Heading1"/>
        <w:rPr>
          <w:b/>
          <w:bCs/>
          <w:color w:val="auto"/>
          <w:sz w:val="30"/>
          <w:szCs w:val="30"/>
        </w:rPr>
      </w:pPr>
      <w:r w:rsidRPr="00EE69A9">
        <w:rPr>
          <w:b/>
          <w:bCs/>
          <w:color w:val="auto"/>
          <w:sz w:val="30"/>
          <w:szCs w:val="30"/>
        </w:rPr>
        <w:t>Delegeretmøde i Grønlands Erhverv (GE) lørdag den 29. april 2023</w:t>
      </w:r>
    </w:p>
    <w:p w14:paraId="03DDF16B" w14:textId="33302EF2" w:rsidR="003F56CB" w:rsidRPr="00EE69A9" w:rsidRDefault="003F56CB" w:rsidP="00EF7A18">
      <w:pPr>
        <w:pStyle w:val="Heading2"/>
        <w:rPr>
          <w:b/>
          <w:bCs/>
          <w:color w:val="auto"/>
        </w:rPr>
      </w:pPr>
      <w:r w:rsidRPr="00EE69A9">
        <w:rPr>
          <w:b/>
          <w:bCs/>
          <w:color w:val="auto"/>
        </w:rPr>
        <w:t>Bestyrelsens beretning 202</w:t>
      </w:r>
      <w:r w:rsidR="00DF1745" w:rsidRPr="00EE69A9">
        <w:rPr>
          <w:b/>
          <w:bCs/>
          <w:color w:val="auto"/>
        </w:rPr>
        <w:t>3</w:t>
      </w:r>
    </w:p>
    <w:p w14:paraId="5A85BF5F" w14:textId="4E0CBAFA" w:rsidR="00D60F30" w:rsidRPr="00C636A8" w:rsidRDefault="00D60F30" w:rsidP="00D60F30">
      <w:pPr>
        <w:rPr>
          <w:rFonts w:ascii="Tahoma" w:hAnsi="Tahoma" w:cs="Tahoma"/>
          <w:sz w:val="20"/>
          <w:szCs w:val="20"/>
        </w:rPr>
      </w:pPr>
      <w:r w:rsidRPr="00C636A8">
        <w:rPr>
          <w:rFonts w:ascii="Tahoma" w:hAnsi="Tahoma" w:cs="Tahoma"/>
          <w:sz w:val="20"/>
          <w:szCs w:val="20"/>
        </w:rPr>
        <w:t xml:space="preserve">Kun i to perioder siden 1979 har Naalakkersuisut været ledet af et parti, der ikke var </w:t>
      </w:r>
      <w:proofErr w:type="spellStart"/>
      <w:r w:rsidRPr="00C636A8">
        <w:rPr>
          <w:rFonts w:ascii="Tahoma" w:hAnsi="Tahoma" w:cs="Tahoma"/>
          <w:sz w:val="20"/>
          <w:szCs w:val="20"/>
        </w:rPr>
        <w:t>Siumut</w:t>
      </w:r>
      <w:proofErr w:type="spellEnd"/>
      <w:r w:rsidRPr="00C636A8">
        <w:rPr>
          <w:rFonts w:ascii="Tahoma" w:hAnsi="Tahoma" w:cs="Tahoma"/>
          <w:sz w:val="20"/>
          <w:szCs w:val="20"/>
        </w:rPr>
        <w:t xml:space="preserve">. Første gang var årene 2009-2013, hvor IA sad for bordenden og anden gang er den tid vi nu lever i, nemlig siden Inatsisartut-valget i 2021. IA er igen </w:t>
      </w:r>
      <w:r w:rsidR="00CA646A" w:rsidRPr="00C636A8">
        <w:rPr>
          <w:rFonts w:ascii="Tahoma" w:hAnsi="Tahoma" w:cs="Tahoma"/>
          <w:sz w:val="20"/>
          <w:szCs w:val="20"/>
        </w:rPr>
        <w:t>regeringsleder</w:t>
      </w:r>
      <w:r w:rsidRPr="00C636A8">
        <w:rPr>
          <w:rFonts w:ascii="Tahoma" w:hAnsi="Tahoma" w:cs="Tahoma"/>
          <w:sz w:val="20"/>
          <w:szCs w:val="20"/>
        </w:rPr>
        <w:t xml:space="preserve"> og har siden sidste delegeretmøde ændret den oprindelige koalition, så de i dag indgår i et regeringssamarbejde med </w:t>
      </w:r>
      <w:proofErr w:type="spellStart"/>
      <w:r w:rsidRPr="00C636A8">
        <w:rPr>
          <w:rFonts w:ascii="Tahoma" w:hAnsi="Tahoma" w:cs="Tahoma"/>
          <w:sz w:val="20"/>
          <w:szCs w:val="20"/>
        </w:rPr>
        <w:t>Siumut</w:t>
      </w:r>
      <w:proofErr w:type="spellEnd"/>
      <w:r w:rsidRPr="00C636A8">
        <w:rPr>
          <w:rFonts w:ascii="Tahoma" w:hAnsi="Tahoma" w:cs="Tahoma"/>
          <w:sz w:val="20"/>
          <w:szCs w:val="20"/>
        </w:rPr>
        <w:t xml:space="preserve">, og dermed sammen indtager 22 </w:t>
      </w:r>
      <w:r w:rsidR="00EA678B" w:rsidRPr="00C636A8">
        <w:rPr>
          <w:rFonts w:ascii="Tahoma" w:hAnsi="Tahoma" w:cs="Tahoma"/>
          <w:sz w:val="20"/>
          <w:szCs w:val="20"/>
        </w:rPr>
        <w:t>af</w:t>
      </w:r>
      <w:r w:rsidRPr="00C636A8">
        <w:rPr>
          <w:rFonts w:ascii="Tahoma" w:hAnsi="Tahoma" w:cs="Tahoma"/>
          <w:sz w:val="20"/>
          <w:szCs w:val="20"/>
        </w:rPr>
        <w:t xml:space="preserve"> 31 mandater i Inatsisartut. Det har skabt grundlaget for en mere stabil regeringsførelse</w:t>
      </w:r>
      <w:r w:rsidR="005F6B15">
        <w:rPr>
          <w:rFonts w:ascii="Tahoma" w:hAnsi="Tahoma" w:cs="Tahoma"/>
          <w:sz w:val="20"/>
          <w:szCs w:val="20"/>
        </w:rPr>
        <w:t xml:space="preserve"> og som konsekvens at oppositionen alene består af 9 medlemmer</w:t>
      </w:r>
      <w:r w:rsidRPr="00C636A8">
        <w:rPr>
          <w:rFonts w:ascii="Tahoma" w:hAnsi="Tahoma" w:cs="Tahoma"/>
          <w:sz w:val="20"/>
          <w:szCs w:val="20"/>
        </w:rPr>
        <w:t>.</w:t>
      </w:r>
    </w:p>
    <w:p w14:paraId="010A844C" w14:textId="2236FAF8" w:rsidR="00D60F30" w:rsidRPr="00C636A8" w:rsidRDefault="00B959F2" w:rsidP="00D60F30">
      <w:pPr>
        <w:rPr>
          <w:rFonts w:ascii="Tahoma" w:hAnsi="Tahoma" w:cs="Tahoma"/>
          <w:sz w:val="20"/>
          <w:szCs w:val="20"/>
        </w:rPr>
      </w:pPr>
      <w:r w:rsidRPr="00C636A8">
        <w:rPr>
          <w:rFonts w:ascii="Tahoma" w:hAnsi="Tahoma" w:cs="Tahoma"/>
          <w:sz w:val="20"/>
          <w:szCs w:val="20"/>
        </w:rPr>
        <w:t>Grønlands Erhverv</w:t>
      </w:r>
      <w:r w:rsidR="00D60F30" w:rsidRPr="00C636A8">
        <w:rPr>
          <w:rFonts w:ascii="Tahoma" w:hAnsi="Tahoma" w:cs="Tahoma"/>
          <w:sz w:val="20"/>
          <w:szCs w:val="20"/>
        </w:rPr>
        <w:t xml:space="preserve"> bæres af en evne </w:t>
      </w:r>
      <w:r w:rsidR="00453FD0" w:rsidRPr="00C636A8">
        <w:rPr>
          <w:rFonts w:ascii="Tahoma" w:hAnsi="Tahoma" w:cs="Tahoma"/>
          <w:sz w:val="20"/>
          <w:szCs w:val="20"/>
        </w:rPr>
        <w:t xml:space="preserve">til </w:t>
      </w:r>
      <w:r w:rsidR="00D60F30" w:rsidRPr="00C636A8">
        <w:rPr>
          <w:rFonts w:ascii="Tahoma" w:hAnsi="Tahoma" w:cs="Tahoma"/>
          <w:sz w:val="20"/>
          <w:szCs w:val="20"/>
        </w:rPr>
        <w:t>og indsats rettet mod</w:t>
      </w:r>
      <w:r w:rsidR="0047027E" w:rsidRPr="00C636A8">
        <w:rPr>
          <w:rFonts w:ascii="Tahoma" w:hAnsi="Tahoma" w:cs="Tahoma"/>
          <w:sz w:val="20"/>
          <w:szCs w:val="20"/>
        </w:rPr>
        <w:t>;</w:t>
      </w:r>
      <w:r w:rsidR="00D60F30" w:rsidRPr="00C636A8">
        <w:rPr>
          <w:rFonts w:ascii="Tahoma" w:hAnsi="Tahoma" w:cs="Tahoma"/>
          <w:sz w:val="20"/>
          <w:szCs w:val="20"/>
        </w:rPr>
        <w:t xml:space="preserve"> at kunne indgå i konstruktiv dialog med alle 5 partier i Inatsisartut, men er vidende om de forskelle, der kan være i ideologi i forhold til at sikre en bæredygtig erhvervspolitik</w:t>
      </w:r>
      <w:r w:rsidR="004B0DBB" w:rsidRPr="00C636A8">
        <w:rPr>
          <w:rFonts w:ascii="Tahoma" w:hAnsi="Tahoma" w:cs="Tahoma"/>
          <w:sz w:val="20"/>
          <w:szCs w:val="20"/>
        </w:rPr>
        <w:t xml:space="preserve">. </w:t>
      </w:r>
      <w:r w:rsidR="00447233" w:rsidRPr="00C636A8">
        <w:rPr>
          <w:rFonts w:ascii="Tahoma" w:hAnsi="Tahoma" w:cs="Tahoma"/>
          <w:sz w:val="20"/>
          <w:szCs w:val="20"/>
        </w:rPr>
        <w:t xml:space="preserve">I erkendelse af at uenighed skaber fremdrift </w:t>
      </w:r>
      <w:r w:rsidR="00453FD0" w:rsidRPr="00C636A8">
        <w:rPr>
          <w:rFonts w:ascii="Tahoma" w:hAnsi="Tahoma" w:cs="Tahoma"/>
          <w:sz w:val="20"/>
          <w:szCs w:val="20"/>
        </w:rPr>
        <w:t>gå</w:t>
      </w:r>
      <w:r w:rsidR="00447233" w:rsidRPr="00C636A8">
        <w:rPr>
          <w:rFonts w:ascii="Tahoma" w:hAnsi="Tahoma" w:cs="Tahoma"/>
          <w:sz w:val="20"/>
          <w:szCs w:val="20"/>
        </w:rPr>
        <w:t>r indsatsen på at være en faglig og saglig stemme i civilsamfundet, og bruge vores indflydelse respektfuldt. Vi sætter fokus på at identificere de mærkesager, hvor der kan opnås samarbejde og enighed, samtidig med at vi er nødt til at indtage præcise holdninger på sager, der ikke gavner erhvervslivets udvikling. Vi ser med noget bekymring på den generelt lave forståelse for vigtigheden af et stærkt civilsamfund, som til tider opleves, samt den måde hvorpå visse politikere tager modsatrettede holdninger meget personligt. Det besværliggør både foreningens arbejde og udviklingen i samfundet.</w:t>
      </w:r>
    </w:p>
    <w:p w14:paraId="1412AC31" w14:textId="2336A287" w:rsidR="002F53C2" w:rsidRPr="00C636A8" w:rsidRDefault="002F53C2" w:rsidP="00D60F30">
      <w:pPr>
        <w:rPr>
          <w:rFonts w:ascii="Tahoma" w:hAnsi="Tahoma" w:cs="Tahoma"/>
          <w:sz w:val="20"/>
          <w:szCs w:val="20"/>
        </w:rPr>
      </w:pPr>
      <w:r w:rsidRPr="00C636A8">
        <w:rPr>
          <w:rFonts w:ascii="Tahoma" w:hAnsi="Tahoma" w:cs="Tahoma"/>
          <w:sz w:val="20"/>
          <w:szCs w:val="20"/>
        </w:rPr>
        <w:t xml:space="preserve">Koalitionen foretog en omfattende udskiftning i de offentligt ejede selskabers bestyrelser i foråret 2021 som led i de politiske forhandlinger. Foreningen støtter at der skabes plads til at uddanne landets egne talenter i erhvervslivet til at bidrage i bestyrelser, men efterlyser fortsat stabilitet og fokus på det ansvar, det medfører at være del af en bestyrelse. I foråret 2022 måtte koalitionen justere bestyrelsesudpegningerne, bl.a. som følge af reaktioner fra finansverdenen. Der er et meget vigtigt signal at sende fra Grønland som potentielt investeringsland i, at bestyrelserne ikke fremstår som politisk motiverede og udpegede, men kan varetage selskabernes tarv og interesse. </w:t>
      </w:r>
    </w:p>
    <w:p w14:paraId="110C341F" w14:textId="61812343" w:rsidR="008854CF" w:rsidRPr="00C636A8" w:rsidRDefault="008854CF" w:rsidP="00D60F30">
      <w:pPr>
        <w:rPr>
          <w:rFonts w:ascii="Tahoma" w:hAnsi="Tahoma" w:cs="Tahoma"/>
          <w:sz w:val="20"/>
          <w:szCs w:val="20"/>
        </w:rPr>
      </w:pPr>
      <w:r w:rsidRPr="00C636A8">
        <w:rPr>
          <w:rFonts w:ascii="Tahoma" w:hAnsi="Tahoma" w:cs="Tahoma"/>
          <w:sz w:val="20"/>
          <w:szCs w:val="20"/>
        </w:rPr>
        <w:t xml:space="preserve">Foreningen har store forventninger til den siddende koalition i forhold til at kunne føre en ansvarlig og bæredygtig politik, </w:t>
      </w:r>
      <w:r w:rsidR="00820EE6" w:rsidRPr="00C636A8">
        <w:rPr>
          <w:rFonts w:ascii="Tahoma" w:hAnsi="Tahoma" w:cs="Tahoma"/>
          <w:sz w:val="20"/>
          <w:szCs w:val="20"/>
        </w:rPr>
        <w:t xml:space="preserve">da </w:t>
      </w:r>
      <w:r w:rsidRPr="00C636A8">
        <w:rPr>
          <w:rFonts w:ascii="Tahoma" w:hAnsi="Tahoma" w:cs="Tahoma"/>
          <w:sz w:val="20"/>
          <w:szCs w:val="20"/>
        </w:rPr>
        <w:t xml:space="preserve">koalitionen sidder på </w:t>
      </w:r>
      <w:r w:rsidR="00820EE6" w:rsidRPr="00C636A8">
        <w:rPr>
          <w:rFonts w:ascii="Tahoma" w:hAnsi="Tahoma" w:cs="Tahoma"/>
          <w:sz w:val="20"/>
          <w:szCs w:val="20"/>
        </w:rPr>
        <w:t>22</w:t>
      </w:r>
      <w:r w:rsidRPr="00C636A8">
        <w:rPr>
          <w:rFonts w:ascii="Tahoma" w:hAnsi="Tahoma" w:cs="Tahoma"/>
          <w:sz w:val="20"/>
          <w:szCs w:val="20"/>
        </w:rPr>
        <w:t xml:space="preserve"> </w:t>
      </w:r>
      <w:r w:rsidR="00FF7B08" w:rsidRPr="00C636A8">
        <w:rPr>
          <w:rFonts w:ascii="Tahoma" w:hAnsi="Tahoma" w:cs="Tahoma"/>
          <w:sz w:val="20"/>
          <w:szCs w:val="20"/>
        </w:rPr>
        <w:t xml:space="preserve">af 31 </w:t>
      </w:r>
      <w:r w:rsidRPr="00C636A8">
        <w:rPr>
          <w:rFonts w:ascii="Tahoma" w:hAnsi="Tahoma" w:cs="Tahoma"/>
          <w:sz w:val="20"/>
          <w:szCs w:val="20"/>
        </w:rPr>
        <w:t>mandater</w:t>
      </w:r>
      <w:r w:rsidR="00820EE6" w:rsidRPr="00C636A8">
        <w:rPr>
          <w:rFonts w:ascii="Tahoma" w:hAnsi="Tahoma" w:cs="Tahoma"/>
          <w:sz w:val="20"/>
          <w:szCs w:val="20"/>
        </w:rPr>
        <w:t xml:space="preserve"> og ikke er lige så spinkel, som den oprindelige koalition</w:t>
      </w:r>
      <w:r w:rsidR="002B424B" w:rsidRPr="00C636A8">
        <w:rPr>
          <w:rFonts w:ascii="Tahoma" w:hAnsi="Tahoma" w:cs="Tahoma"/>
          <w:sz w:val="20"/>
          <w:szCs w:val="20"/>
        </w:rPr>
        <w:t xml:space="preserve"> mellem IA og </w:t>
      </w:r>
      <w:proofErr w:type="spellStart"/>
      <w:r w:rsidR="002B424B" w:rsidRPr="00C636A8">
        <w:rPr>
          <w:rFonts w:ascii="Tahoma" w:hAnsi="Tahoma" w:cs="Tahoma"/>
          <w:sz w:val="20"/>
          <w:szCs w:val="20"/>
        </w:rPr>
        <w:t>Naleraq</w:t>
      </w:r>
      <w:proofErr w:type="spellEnd"/>
      <w:r w:rsidR="00820EE6" w:rsidRPr="00C636A8">
        <w:rPr>
          <w:rFonts w:ascii="Tahoma" w:hAnsi="Tahoma" w:cs="Tahoma"/>
          <w:sz w:val="20"/>
          <w:szCs w:val="20"/>
        </w:rPr>
        <w:t>, der primært var båret af fælles fodslag omkring uranspørgsmålet</w:t>
      </w:r>
      <w:r w:rsidRPr="00C636A8">
        <w:rPr>
          <w:rFonts w:ascii="Tahoma" w:hAnsi="Tahoma" w:cs="Tahoma"/>
          <w:sz w:val="20"/>
          <w:szCs w:val="20"/>
        </w:rPr>
        <w:t xml:space="preserve">. </w:t>
      </w:r>
    </w:p>
    <w:p w14:paraId="4F2F4DED" w14:textId="77777777" w:rsidR="00356FF2" w:rsidRPr="00C636A8" w:rsidRDefault="00453FD0" w:rsidP="00D60F30">
      <w:pPr>
        <w:rPr>
          <w:rFonts w:ascii="Tahoma" w:hAnsi="Tahoma" w:cs="Tahoma"/>
          <w:sz w:val="20"/>
          <w:szCs w:val="20"/>
        </w:rPr>
      </w:pPr>
      <w:r w:rsidRPr="00C636A8">
        <w:rPr>
          <w:rFonts w:ascii="Tahoma" w:hAnsi="Tahoma" w:cs="Tahoma"/>
          <w:sz w:val="20"/>
          <w:szCs w:val="20"/>
        </w:rPr>
        <w:t>Foreningen efterlyser reformer, og ser med bekymring på de nationaløkonomiske projektioner om at Grønland om 10-12 år ikke vil kunne sikre en økonomisk bæredygtig finanspolitik, hvis ikke der handles nu. Bl.a. socialreformer, uddannelsesreformer og arbejdsmarkedsreformer er nødvendige.</w:t>
      </w:r>
      <w:r w:rsidR="00092918" w:rsidRPr="00C636A8">
        <w:rPr>
          <w:rFonts w:ascii="Tahoma" w:hAnsi="Tahoma" w:cs="Tahoma"/>
          <w:sz w:val="20"/>
          <w:szCs w:val="20"/>
        </w:rPr>
        <w:t xml:space="preserve"> Vi slår måned efter måned rekord i at mangle arbejdskraft, og udsigten for fremtiden i forhold til både befolkningens demografiske fordeling og størrelse samt uddannelsesniveau er bekymrende. Flere mennesker får heldigvis en uddannelse udover folkeskolens 10. klasse, men det går for langsomt og unge mennesker forlader skolen med dårlige </w:t>
      </w:r>
      <w:r w:rsidR="000C7E8E" w:rsidRPr="00C636A8">
        <w:rPr>
          <w:rFonts w:ascii="Tahoma" w:hAnsi="Tahoma" w:cs="Tahoma"/>
          <w:sz w:val="20"/>
          <w:szCs w:val="20"/>
        </w:rPr>
        <w:t xml:space="preserve">sprogkundskaber og karakterer, der ikke giver dem direkte adgang til at fortsætte i uddannelsessystemet. Faktisk er det alene 29 % af afgangseleverne, der opnår de </w:t>
      </w:r>
      <w:r w:rsidR="006A4F4F" w:rsidRPr="00C636A8">
        <w:rPr>
          <w:rFonts w:ascii="Tahoma" w:hAnsi="Tahoma" w:cs="Tahoma"/>
          <w:sz w:val="20"/>
          <w:szCs w:val="20"/>
        </w:rPr>
        <w:t xml:space="preserve">nødvendige </w:t>
      </w:r>
      <w:r w:rsidR="000C7E8E" w:rsidRPr="00C636A8">
        <w:rPr>
          <w:rFonts w:ascii="Tahoma" w:hAnsi="Tahoma" w:cs="Tahoma"/>
          <w:sz w:val="20"/>
          <w:szCs w:val="20"/>
        </w:rPr>
        <w:t>adgangsgivende karakter i alle fag.</w:t>
      </w:r>
    </w:p>
    <w:p w14:paraId="31027F57" w14:textId="101CFCBA" w:rsidR="00453FD0" w:rsidRPr="00C636A8" w:rsidRDefault="00356FF2" w:rsidP="00D60F30">
      <w:pPr>
        <w:rPr>
          <w:rFonts w:ascii="Tahoma" w:hAnsi="Tahoma" w:cs="Tahoma"/>
          <w:sz w:val="20"/>
          <w:szCs w:val="20"/>
        </w:rPr>
      </w:pPr>
      <w:r w:rsidRPr="00C636A8">
        <w:rPr>
          <w:rFonts w:ascii="Tahoma" w:hAnsi="Tahoma" w:cs="Tahoma"/>
          <w:sz w:val="20"/>
          <w:szCs w:val="20"/>
        </w:rPr>
        <w:t>Omverdenen til trods, er der mange steder i landet gang i aktiviteterne, om end disse ikke synes ligeligt fordelt. Opretholdelsen af den struktur, som samfundet er baseret på, kræver også politiske indsatser, der kan understøtte erhvervslivet. Bl.a. Sydgrønland efterlyser mere politisk handling, der kan understøtte aktivitet i regionen.</w:t>
      </w:r>
    </w:p>
    <w:p w14:paraId="2FF36430" w14:textId="090FBC17" w:rsidR="00063734" w:rsidRDefault="00063734" w:rsidP="00063734">
      <w:pPr>
        <w:pStyle w:val="Heading3"/>
      </w:pPr>
      <w:r w:rsidRPr="00063734">
        <w:lastRenderedPageBreak/>
        <w:t>Erhvervspolitik generelt</w:t>
      </w:r>
    </w:p>
    <w:p w14:paraId="3BAF83BD" w14:textId="58082C88" w:rsidR="00063734" w:rsidRDefault="00063734" w:rsidP="00E87951">
      <w:pPr>
        <w:rPr>
          <w:rFonts w:ascii="Tahoma" w:hAnsi="Tahoma" w:cs="Tahoma"/>
          <w:sz w:val="20"/>
          <w:szCs w:val="20"/>
        </w:rPr>
      </w:pPr>
      <w:r>
        <w:rPr>
          <w:rFonts w:ascii="Tahoma" w:hAnsi="Tahoma" w:cs="Tahoma"/>
          <w:sz w:val="20"/>
          <w:szCs w:val="20"/>
        </w:rPr>
        <w:t xml:space="preserve">Grønland omtales politisk som stående på 4 økonomiske søjler; fiskeriet, råstofferne, turismen og de landbaserede erhverv. I praksis er der en 5. søjle, bloktilskud fra Danmark og EU, der tilsammen udgør 58 % af landskassens indtægter. Flere af de nævnte søjler bidrager kun i meget begrænset omfang, så Grønland reelt bæres af to sejler; fiskeriet og bloktilskuddet. </w:t>
      </w:r>
      <w:r w:rsidR="00E26FE4">
        <w:rPr>
          <w:rFonts w:ascii="Tahoma" w:hAnsi="Tahoma" w:cs="Tahoma"/>
          <w:sz w:val="20"/>
          <w:szCs w:val="20"/>
        </w:rPr>
        <w:t>Mens sidstnævnte er en stabiliserende faktor, og dermed en beskyttende faktor i globale nedgangstider og en begrænsende faktor i globale opgangstider, er fiskeriet mere udsat for de globale markeders udvikling – være sig efterspørgsmål, energikriser, omkostningsstigninger og logistikkæder.</w:t>
      </w:r>
    </w:p>
    <w:p w14:paraId="4CA1519F" w14:textId="65A0E7C3" w:rsidR="000A1CEE" w:rsidRDefault="000A1CEE" w:rsidP="00E87951">
      <w:pPr>
        <w:rPr>
          <w:rFonts w:ascii="Tahoma" w:hAnsi="Tahoma" w:cs="Tahoma"/>
          <w:sz w:val="20"/>
          <w:szCs w:val="20"/>
        </w:rPr>
      </w:pPr>
      <w:r>
        <w:rPr>
          <w:rFonts w:ascii="Tahoma" w:hAnsi="Tahoma" w:cs="Tahoma"/>
          <w:sz w:val="20"/>
          <w:szCs w:val="20"/>
        </w:rPr>
        <w:t>Politisk har der været blandede udmeldinger, og foreningen efterlyser en erhvervspolitisk strategi, der står på flere søjler og indsatsområder. Råstofferne har længe været udråbt som vejen til økonomisk uafhængighed, hvilket er blevet afløst af turismen som vejen frem og nu er det energi som erhverv og eksport, der lader til at være indsatsen. Sidstnævnte med begrænset kobling til den grønlandske erhvervsstruktur og udviklingen indenfor sektoren – navnlig Power-to-X (</w:t>
      </w:r>
      <w:proofErr w:type="spellStart"/>
      <w:r>
        <w:rPr>
          <w:rFonts w:ascii="Tahoma" w:hAnsi="Tahoma" w:cs="Tahoma"/>
          <w:sz w:val="20"/>
          <w:szCs w:val="20"/>
        </w:rPr>
        <w:t>PtX</w:t>
      </w:r>
      <w:proofErr w:type="spellEnd"/>
      <w:r>
        <w:rPr>
          <w:rFonts w:ascii="Tahoma" w:hAnsi="Tahoma" w:cs="Tahoma"/>
          <w:sz w:val="20"/>
          <w:szCs w:val="20"/>
        </w:rPr>
        <w:t xml:space="preserve">) og </w:t>
      </w:r>
      <w:proofErr w:type="spellStart"/>
      <w:r>
        <w:rPr>
          <w:rFonts w:ascii="Tahoma" w:hAnsi="Tahoma" w:cs="Tahoma"/>
          <w:sz w:val="20"/>
          <w:szCs w:val="20"/>
        </w:rPr>
        <w:t>Carbon</w:t>
      </w:r>
      <w:proofErr w:type="spellEnd"/>
      <w:r>
        <w:rPr>
          <w:rFonts w:ascii="Tahoma" w:hAnsi="Tahoma" w:cs="Tahoma"/>
          <w:sz w:val="20"/>
          <w:szCs w:val="20"/>
        </w:rPr>
        <w:t xml:space="preserve"> </w:t>
      </w:r>
      <w:proofErr w:type="spellStart"/>
      <w:r>
        <w:rPr>
          <w:rFonts w:ascii="Tahoma" w:hAnsi="Tahoma" w:cs="Tahoma"/>
          <w:sz w:val="20"/>
          <w:szCs w:val="20"/>
        </w:rPr>
        <w:t>Capture</w:t>
      </w:r>
      <w:proofErr w:type="spellEnd"/>
      <w:r>
        <w:rPr>
          <w:rFonts w:ascii="Tahoma" w:hAnsi="Tahoma" w:cs="Tahoma"/>
          <w:sz w:val="20"/>
          <w:szCs w:val="20"/>
        </w:rPr>
        <w:t xml:space="preserve"> and Storage (CCS)</w:t>
      </w:r>
      <w:r w:rsidR="00AE5C45">
        <w:rPr>
          <w:rFonts w:ascii="Tahoma" w:hAnsi="Tahoma" w:cs="Tahoma"/>
          <w:sz w:val="20"/>
          <w:szCs w:val="20"/>
        </w:rPr>
        <w:t>, der fortsat er i sine tidlige stadier i verden omkring os.</w:t>
      </w:r>
    </w:p>
    <w:p w14:paraId="68E80BB0" w14:textId="7E6CCE7D" w:rsidR="00022741" w:rsidRDefault="00022741" w:rsidP="00E87951">
      <w:pPr>
        <w:rPr>
          <w:rFonts w:ascii="Tahoma" w:hAnsi="Tahoma" w:cs="Tahoma"/>
          <w:sz w:val="20"/>
          <w:szCs w:val="20"/>
        </w:rPr>
      </w:pPr>
      <w:r>
        <w:rPr>
          <w:rFonts w:ascii="Tahoma" w:hAnsi="Tahoma" w:cs="Tahoma"/>
          <w:sz w:val="20"/>
          <w:szCs w:val="20"/>
        </w:rPr>
        <w:t>Foreningen arbejder for gode rammevilkår i alle sektorer, og støtter ikke den politiske linje, der til tider opleves hvor fokus skifter på bekostning af andre sektorer. Grønland opnår kun mere økonomisk autonomi ved at satse på alle relevante sektorer og sikre de rette rammebetingelser for at erhvervene kan trives og udvikles. Heri ligger bl.a. behovet for de relevante reformer, arbejdet for at tilvejebringe mere arbejdskraft, begrænsning af den offentlige konkurrence og politisk stabilitet.</w:t>
      </w:r>
    </w:p>
    <w:p w14:paraId="2F3A8806" w14:textId="276B21FE" w:rsidR="008E4749" w:rsidRDefault="008E4749" w:rsidP="008E4749">
      <w:pPr>
        <w:pStyle w:val="Heading3"/>
      </w:pPr>
      <w:r>
        <w:t>Civilsamfundet under pres</w:t>
      </w:r>
    </w:p>
    <w:p w14:paraId="5403D175" w14:textId="40E07089" w:rsidR="008E4749" w:rsidRPr="00C636A8" w:rsidRDefault="008E4749" w:rsidP="008E4749">
      <w:pPr>
        <w:rPr>
          <w:rFonts w:ascii="Tahoma" w:hAnsi="Tahoma" w:cs="Tahoma"/>
          <w:sz w:val="20"/>
          <w:szCs w:val="20"/>
        </w:rPr>
      </w:pPr>
      <w:proofErr w:type="spellStart"/>
      <w:r w:rsidRPr="00C636A8">
        <w:rPr>
          <w:rFonts w:ascii="Tahoma" w:hAnsi="Tahoma" w:cs="Tahoma"/>
          <w:sz w:val="20"/>
          <w:szCs w:val="20"/>
        </w:rPr>
        <w:t>Siumut</w:t>
      </w:r>
      <w:proofErr w:type="spellEnd"/>
      <w:r w:rsidRPr="00C636A8">
        <w:rPr>
          <w:rFonts w:ascii="Tahoma" w:hAnsi="Tahoma" w:cs="Tahoma"/>
          <w:sz w:val="20"/>
          <w:szCs w:val="20"/>
        </w:rPr>
        <w:t xml:space="preserve"> har</w:t>
      </w:r>
      <w:r w:rsidR="0045767C" w:rsidRPr="00C636A8">
        <w:rPr>
          <w:rFonts w:ascii="Tahoma" w:hAnsi="Tahoma" w:cs="Tahoma"/>
          <w:sz w:val="20"/>
          <w:szCs w:val="20"/>
        </w:rPr>
        <w:t xml:space="preserve"> med flere § 37-spørgsmål i februar stillet en række kritiske spørgsmål målrettet de offentligt ejede selskaber, herunder i hvilket omfang disse er medlem af Grønlands Erhverv. Der er ligeledes stillet spørgsmål ved om der er politisk opbakning til medlemskaberne, og det samfundsmæssigt rimelige i at det offentlig</w:t>
      </w:r>
      <w:r w:rsidR="007135E3">
        <w:rPr>
          <w:rFonts w:ascii="Tahoma" w:hAnsi="Tahoma" w:cs="Tahoma"/>
          <w:sz w:val="20"/>
          <w:szCs w:val="20"/>
        </w:rPr>
        <w:t>e</w:t>
      </w:r>
      <w:r w:rsidR="0045767C" w:rsidRPr="00C636A8">
        <w:rPr>
          <w:rFonts w:ascii="Tahoma" w:hAnsi="Tahoma" w:cs="Tahoma"/>
          <w:sz w:val="20"/>
          <w:szCs w:val="20"/>
        </w:rPr>
        <w:t xml:space="preserve"> på denne måde støtter private organisationer, herunder GE, som arbejder for det private arbejdsmarked.</w:t>
      </w:r>
    </w:p>
    <w:p w14:paraId="49C9DCAC" w14:textId="1CAB6CD5" w:rsidR="0045767C" w:rsidRPr="00C636A8" w:rsidRDefault="0045767C" w:rsidP="008E4749">
      <w:pPr>
        <w:rPr>
          <w:rFonts w:ascii="Tahoma" w:hAnsi="Tahoma" w:cs="Tahoma"/>
          <w:sz w:val="20"/>
          <w:szCs w:val="20"/>
        </w:rPr>
      </w:pPr>
      <w:r w:rsidRPr="00C636A8">
        <w:rPr>
          <w:rFonts w:ascii="Tahoma" w:hAnsi="Tahoma" w:cs="Tahoma"/>
          <w:sz w:val="20"/>
          <w:szCs w:val="20"/>
        </w:rPr>
        <w:t>Grønlands Erhverv er af den holdning, at de offentligt ejede selskaber også indgår i erhvervslivet og i det private erhvervsliv. Deres interesser varetages derfor igennem foreningens arbejde, og der består et tæt samarbejde med de offentligt ejede medlemsvirksomheder. I den forbindelse har foreningen flere gange udtrykt bekymring for, at selskaberne nu anses og omtales som ”sektorpolitiske værktøjer”. Der kan synes ikke at være den rette armslængde mellem ejerne og driften og med de store udskiftninger i bestyrelserne er to-</w:t>
      </w:r>
      <w:proofErr w:type="spellStart"/>
      <w:r w:rsidRPr="00C636A8">
        <w:rPr>
          <w:rFonts w:ascii="Tahoma" w:hAnsi="Tahoma" w:cs="Tahoma"/>
          <w:sz w:val="20"/>
          <w:szCs w:val="20"/>
        </w:rPr>
        <w:t>governance</w:t>
      </w:r>
      <w:proofErr w:type="spellEnd"/>
      <w:r w:rsidRPr="00C636A8">
        <w:rPr>
          <w:rFonts w:ascii="Tahoma" w:hAnsi="Tahoma" w:cs="Tahoma"/>
          <w:sz w:val="20"/>
          <w:szCs w:val="20"/>
        </w:rPr>
        <w:t>-strukturen flere steder under pres.</w:t>
      </w:r>
    </w:p>
    <w:p w14:paraId="2B3B1A61" w14:textId="50A732CA" w:rsidR="008E4749" w:rsidRPr="00C636A8" w:rsidRDefault="0045767C" w:rsidP="00E87951">
      <w:pPr>
        <w:rPr>
          <w:rFonts w:ascii="Tahoma" w:hAnsi="Tahoma" w:cs="Tahoma"/>
          <w:sz w:val="20"/>
          <w:szCs w:val="20"/>
        </w:rPr>
      </w:pPr>
      <w:r w:rsidRPr="00C636A8">
        <w:rPr>
          <w:rFonts w:ascii="Tahoma" w:hAnsi="Tahoma" w:cs="Tahoma"/>
          <w:sz w:val="20"/>
          <w:szCs w:val="20"/>
        </w:rPr>
        <w:t>Mest bekymrende er det dog, at der sker politisk indblanding i arbejdsmarked</w:t>
      </w:r>
      <w:r w:rsidR="000074BC" w:rsidRPr="00C636A8">
        <w:rPr>
          <w:rFonts w:ascii="Tahoma" w:hAnsi="Tahoma" w:cs="Tahoma"/>
          <w:sz w:val="20"/>
          <w:szCs w:val="20"/>
        </w:rPr>
        <w:t>et</w:t>
      </w:r>
      <w:r w:rsidRPr="00C636A8">
        <w:rPr>
          <w:rFonts w:ascii="Tahoma" w:hAnsi="Tahoma" w:cs="Tahoma"/>
          <w:sz w:val="20"/>
          <w:szCs w:val="20"/>
        </w:rPr>
        <w:t xml:space="preserve">s autonomi og organisationer, samt at der forsøges indført en indirekte censur via det pres, som spørgsmålene lægger på direktioner. </w:t>
      </w:r>
    </w:p>
    <w:p w14:paraId="56E10AA1" w14:textId="42DD1F2F" w:rsidR="004B0DBB" w:rsidRPr="00E522E1" w:rsidRDefault="004B0DBB" w:rsidP="004B0DBB">
      <w:pPr>
        <w:pStyle w:val="Heading3"/>
      </w:pPr>
      <w:r w:rsidRPr="00E522E1">
        <w:t>Bæredygtighed</w:t>
      </w:r>
      <w:r w:rsidR="00E522E1" w:rsidRPr="00E522E1">
        <w:t>: Social, økonomisk, biologisk og miljø/klima</w:t>
      </w:r>
    </w:p>
    <w:p w14:paraId="0FE93273" w14:textId="77777777" w:rsidR="00156090" w:rsidRPr="00156090" w:rsidRDefault="00E522E1" w:rsidP="00156090">
      <w:pPr>
        <w:rPr>
          <w:rFonts w:ascii="Tahoma" w:eastAsia="Times New Roman" w:hAnsi="Tahoma" w:cs="Tahoma"/>
          <w:sz w:val="20"/>
          <w:szCs w:val="20"/>
        </w:rPr>
      </w:pPr>
      <w:r w:rsidRPr="00156090">
        <w:rPr>
          <w:rFonts w:ascii="Tahoma" w:eastAsia="Times New Roman" w:hAnsi="Tahoma" w:cs="Tahoma"/>
          <w:sz w:val="20"/>
          <w:szCs w:val="20"/>
        </w:rPr>
        <w:t>Forkortelsen ESG er i fokus i disse år og danner rammen om mange organisationers arbejde med bl.a. bæredygtighed. Foreningen har med sin nye strategi ønsket at sætte mere fokus på bæredygtighed som en værdiskabende og forudsætningsskabende indsats i de grønlandske virksomheder.</w:t>
      </w:r>
      <w:r w:rsidR="00156090" w:rsidRPr="00156090">
        <w:rPr>
          <w:rFonts w:ascii="Tahoma" w:eastAsia="Times New Roman" w:hAnsi="Tahoma" w:cs="Tahoma"/>
          <w:sz w:val="20"/>
          <w:szCs w:val="20"/>
        </w:rPr>
        <w:t xml:space="preserve"> Det forventes at </w:t>
      </w:r>
      <w:r w:rsidR="00156090" w:rsidRPr="00156090">
        <w:rPr>
          <w:rFonts w:ascii="Tahoma" w:eastAsia="Times New Roman" w:hAnsi="Tahoma" w:cs="Tahoma"/>
          <w:sz w:val="20"/>
          <w:szCs w:val="20"/>
        </w:rPr>
        <w:lastRenderedPageBreak/>
        <w:t>interessenter og investorer i stigende grad vil forvente en målbar indsats relateret til ESG/bæredygtighed</w:t>
      </w:r>
      <w:r w:rsidRPr="00156090">
        <w:rPr>
          <w:rFonts w:ascii="Tahoma" w:eastAsia="Times New Roman" w:hAnsi="Tahoma" w:cs="Tahoma"/>
          <w:sz w:val="20"/>
          <w:szCs w:val="20"/>
        </w:rPr>
        <w:t xml:space="preserve"> </w:t>
      </w:r>
      <w:r w:rsidR="00156090" w:rsidRPr="00156090">
        <w:rPr>
          <w:rFonts w:ascii="Tahoma" w:eastAsia="Times New Roman" w:hAnsi="Tahoma" w:cs="Tahoma"/>
          <w:sz w:val="20"/>
          <w:szCs w:val="20"/>
        </w:rPr>
        <w:t xml:space="preserve">og at krav i omverdenen vil ramme grønlandske virksomheder direkte eller indirekte. </w:t>
      </w:r>
    </w:p>
    <w:p w14:paraId="3BB480B6" w14:textId="0BE5F4B3" w:rsidR="005C70C2" w:rsidRDefault="005C70C2" w:rsidP="00156090">
      <w:pPr>
        <w:rPr>
          <w:rFonts w:ascii="Tahoma" w:hAnsi="Tahoma" w:cs="Tahoma"/>
          <w:sz w:val="20"/>
          <w:szCs w:val="20"/>
        </w:rPr>
      </w:pPr>
      <w:r w:rsidRPr="00E522E1">
        <w:rPr>
          <w:rFonts w:ascii="Tahoma" w:hAnsi="Tahoma" w:cs="Tahoma"/>
          <w:sz w:val="20"/>
          <w:szCs w:val="20"/>
        </w:rPr>
        <w:t xml:space="preserve">Som en del af </w:t>
      </w:r>
      <w:r w:rsidR="00E522E1" w:rsidRPr="00E522E1">
        <w:rPr>
          <w:rFonts w:ascii="Tahoma" w:hAnsi="Tahoma" w:cs="Tahoma"/>
          <w:sz w:val="20"/>
          <w:szCs w:val="20"/>
        </w:rPr>
        <w:t>den</w:t>
      </w:r>
      <w:r w:rsidR="00E522E1">
        <w:rPr>
          <w:rFonts w:ascii="Tahoma" w:hAnsi="Tahoma" w:cs="Tahoma"/>
          <w:sz w:val="20"/>
          <w:szCs w:val="20"/>
        </w:rPr>
        <w:t xml:space="preserve"> </w:t>
      </w:r>
      <w:r>
        <w:rPr>
          <w:rFonts w:ascii="Tahoma" w:hAnsi="Tahoma" w:cs="Tahoma"/>
          <w:sz w:val="20"/>
          <w:szCs w:val="20"/>
        </w:rPr>
        <w:t xml:space="preserve">strategiske indsats arbejdes </w:t>
      </w:r>
      <w:r w:rsidR="00E522E1">
        <w:rPr>
          <w:rFonts w:ascii="Tahoma" w:hAnsi="Tahoma" w:cs="Tahoma"/>
          <w:sz w:val="20"/>
          <w:szCs w:val="20"/>
        </w:rPr>
        <w:t>d</w:t>
      </w:r>
      <w:r>
        <w:rPr>
          <w:rFonts w:ascii="Tahoma" w:hAnsi="Tahoma" w:cs="Tahoma"/>
          <w:sz w:val="20"/>
          <w:szCs w:val="20"/>
        </w:rPr>
        <w:t xml:space="preserve">er med at kortlægge status og udfordringer blandt medlemsvirksomhederne i forhold til bæredygtighed og grøn omstilling. Foreningen ønsker at integrere et fokus på bæredygtighed som dels god sund fornuft og dels en forudsætning for at tiltrække investorer og kunne opnå investeringer og finansiering. </w:t>
      </w:r>
      <w:r w:rsidR="00BC0679">
        <w:rPr>
          <w:rFonts w:ascii="Tahoma" w:hAnsi="Tahoma" w:cs="Tahoma"/>
          <w:sz w:val="20"/>
          <w:szCs w:val="20"/>
        </w:rPr>
        <w:t>Meget tyder på at investormiljøet vil stille større krav til virksomhedernes evne til at understøtte bæredygtig drift og indgå i den grønne omstilling, herunder realisere CO</w:t>
      </w:r>
      <w:r w:rsidR="00BC0679" w:rsidRPr="00BC0679">
        <w:rPr>
          <w:rFonts w:ascii="Tahoma" w:hAnsi="Tahoma" w:cs="Tahoma"/>
          <w:sz w:val="20"/>
          <w:szCs w:val="20"/>
          <w:vertAlign w:val="subscript"/>
        </w:rPr>
        <w:t>2</w:t>
      </w:r>
      <w:r w:rsidR="00BC0679">
        <w:rPr>
          <w:rFonts w:ascii="Tahoma" w:hAnsi="Tahoma" w:cs="Tahoma"/>
          <w:sz w:val="20"/>
          <w:szCs w:val="20"/>
        </w:rPr>
        <w:t xml:space="preserve">-reduktionsmålene fra Paris-aftalen. Det ønsker GE at være en del af, og bistå medlemmerne med. </w:t>
      </w:r>
    </w:p>
    <w:p w14:paraId="00DE7242" w14:textId="34A8BBDE" w:rsidR="00BC0679" w:rsidRDefault="00BC0679" w:rsidP="00156090">
      <w:pPr>
        <w:rPr>
          <w:rFonts w:ascii="Tahoma" w:hAnsi="Tahoma" w:cs="Tahoma"/>
          <w:sz w:val="20"/>
          <w:szCs w:val="20"/>
        </w:rPr>
      </w:pPr>
      <w:r>
        <w:rPr>
          <w:rFonts w:ascii="Tahoma" w:hAnsi="Tahoma" w:cs="Tahoma"/>
          <w:sz w:val="20"/>
          <w:szCs w:val="20"/>
        </w:rPr>
        <w:t>Samtidig med kortlægningen blandt virksomhederne, der vil foregå i det meste af 2023, arbejdes der med at identificere anbefalinger til hvordan man som virksomheder, især i SMV-segmentet, kan arbejde med bæredygtighed. Grønland mangler sin egen definition af bæredygtighed, og ofte udebliver den bærende komponent om at indsatsen også skal være økonomisk fordelagtig og økonomisk bæredygtig, hvorved agendaen får et skær af øgede omkostninger for mange. Dette er ikke tilfældet, og indsatsen fra foreningens side går netop med at etablere de rette definitioner og indsatser.</w:t>
      </w:r>
    </w:p>
    <w:p w14:paraId="483C0F10" w14:textId="4FADFB2D" w:rsidR="00BC0679" w:rsidRDefault="00BC0679" w:rsidP="00156090">
      <w:pPr>
        <w:rPr>
          <w:rFonts w:ascii="Tahoma" w:hAnsi="Tahoma" w:cs="Tahoma"/>
          <w:sz w:val="20"/>
          <w:szCs w:val="20"/>
        </w:rPr>
      </w:pPr>
      <w:r>
        <w:rPr>
          <w:rFonts w:ascii="Tahoma" w:hAnsi="Tahoma" w:cs="Tahoma"/>
          <w:sz w:val="20"/>
          <w:szCs w:val="20"/>
        </w:rPr>
        <w:t>Future Greenland konferencen i 2024 vil centrere sig omkring emnet bæredygtighed under overskriften ”</w:t>
      </w:r>
      <w:r w:rsidRPr="00BC0679">
        <w:rPr>
          <w:rFonts w:ascii="Tahoma" w:hAnsi="Tahoma" w:cs="Tahoma"/>
          <w:i/>
          <w:iCs/>
          <w:sz w:val="20"/>
          <w:szCs w:val="20"/>
        </w:rPr>
        <w:t>Potentialet for et bæredygtigt Grønland - Hvorfor, Hvordan og Hvad?</w:t>
      </w:r>
      <w:r>
        <w:rPr>
          <w:rFonts w:ascii="Tahoma" w:hAnsi="Tahoma" w:cs="Tahoma"/>
          <w:sz w:val="20"/>
          <w:szCs w:val="20"/>
        </w:rPr>
        <w:t>”</w:t>
      </w:r>
    </w:p>
    <w:p w14:paraId="1E9F5044" w14:textId="38022FEE" w:rsidR="00E522E1" w:rsidRDefault="00471C1F" w:rsidP="00156090">
      <w:pPr>
        <w:rPr>
          <w:rFonts w:ascii="Tahoma" w:hAnsi="Tahoma" w:cs="Tahoma"/>
          <w:sz w:val="20"/>
          <w:szCs w:val="20"/>
        </w:rPr>
      </w:pPr>
      <w:r>
        <w:rPr>
          <w:rFonts w:ascii="Tahoma" w:hAnsi="Tahoma" w:cs="Tahoma"/>
          <w:sz w:val="20"/>
          <w:szCs w:val="20"/>
        </w:rPr>
        <w:t>Foreningen har stadig et stærkt samarbejde med CSR-Greenland samt har indgået en samarbejdsaftale med Dansk Industri, der bl.a. målretter sig fokus på og viden om bæredygtighed.</w:t>
      </w:r>
    </w:p>
    <w:p w14:paraId="5AFA6923" w14:textId="77777777" w:rsidR="00CC0697" w:rsidRDefault="00CC0697" w:rsidP="00CC0697">
      <w:pPr>
        <w:pStyle w:val="Heading3"/>
      </w:pPr>
      <w:r>
        <w:t>Paris-aftalen</w:t>
      </w:r>
    </w:p>
    <w:p w14:paraId="0E0117CA" w14:textId="1E3F6BDF" w:rsidR="00CC0697" w:rsidRDefault="0087607E" w:rsidP="00E87951">
      <w:pPr>
        <w:rPr>
          <w:rFonts w:ascii="Tahoma" w:hAnsi="Tahoma" w:cs="Tahoma"/>
          <w:sz w:val="20"/>
          <w:szCs w:val="20"/>
        </w:rPr>
      </w:pPr>
      <w:r>
        <w:rPr>
          <w:rFonts w:ascii="Tahoma" w:hAnsi="Tahoma" w:cs="Tahoma"/>
          <w:sz w:val="20"/>
          <w:szCs w:val="20"/>
        </w:rPr>
        <w:t>Naalakkersuisut meddelt</w:t>
      </w:r>
      <w:r w:rsidR="0089397A">
        <w:rPr>
          <w:rFonts w:ascii="Tahoma" w:hAnsi="Tahoma" w:cs="Tahoma"/>
          <w:sz w:val="20"/>
          <w:szCs w:val="20"/>
        </w:rPr>
        <w:t>e under COP26</w:t>
      </w:r>
      <w:r>
        <w:rPr>
          <w:rFonts w:ascii="Tahoma" w:hAnsi="Tahoma" w:cs="Tahoma"/>
          <w:sz w:val="20"/>
          <w:szCs w:val="20"/>
        </w:rPr>
        <w:t>, at Grønland skal tiltræde Paris-aftalen, der globalt arbejder for at reducere CO</w:t>
      </w:r>
      <w:r w:rsidRPr="0087607E">
        <w:rPr>
          <w:rFonts w:ascii="Tahoma" w:hAnsi="Tahoma" w:cs="Tahoma"/>
          <w:sz w:val="20"/>
          <w:szCs w:val="20"/>
          <w:vertAlign w:val="subscript"/>
        </w:rPr>
        <w:t>2</w:t>
      </w:r>
      <w:r>
        <w:rPr>
          <w:rFonts w:ascii="Tahoma" w:hAnsi="Tahoma" w:cs="Tahoma"/>
          <w:sz w:val="20"/>
          <w:szCs w:val="20"/>
        </w:rPr>
        <w:t xml:space="preserve">-udledning. </w:t>
      </w:r>
      <w:r w:rsidR="00E95499">
        <w:rPr>
          <w:rFonts w:ascii="Tahoma" w:hAnsi="Tahoma" w:cs="Tahoma"/>
          <w:sz w:val="20"/>
          <w:szCs w:val="20"/>
        </w:rPr>
        <w:t xml:space="preserve">GE udtalte i den forbindelse bekymring for, at man ville tiltræde en aftale, uden først at have undersøgt mulige konsekvenser for erhvervets udvikling. Naalakkersuisut har siden da foretaget en tilbundsgående analyse med fokus på konsekvenserne for det grønlandske samfund ved en tiltrædelse. </w:t>
      </w:r>
      <w:r w:rsidR="00AA1E92">
        <w:rPr>
          <w:rFonts w:ascii="Tahoma" w:hAnsi="Tahoma" w:cs="Tahoma"/>
          <w:sz w:val="20"/>
          <w:szCs w:val="20"/>
        </w:rPr>
        <w:t>Erhvervslivets perspektiver indgår i vurderingsgrundlaget.</w:t>
      </w:r>
    </w:p>
    <w:p w14:paraId="021A1EC2" w14:textId="27183944" w:rsidR="00FB621F" w:rsidRDefault="00FB621F" w:rsidP="00E87951">
      <w:pPr>
        <w:rPr>
          <w:rFonts w:ascii="Tahoma" w:hAnsi="Tahoma" w:cs="Tahoma"/>
          <w:sz w:val="20"/>
          <w:szCs w:val="20"/>
        </w:rPr>
      </w:pPr>
      <w:r>
        <w:rPr>
          <w:rFonts w:ascii="Tahoma" w:hAnsi="Tahoma" w:cs="Tahoma"/>
          <w:sz w:val="20"/>
          <w:szCs w:val="20"/>
        </w:rPr>
        <w:t>Grønlands Erhverv understreger vigtigheden af, at der sættes handling bag ordene, når/hvis Grønland tiltræder Paris-aftalen. Alt imens der er et stærkt signal til omverdenen ved at tiltræde aftalen, så er der også en risiko for at man reelt bare foretager en ”Green-</w:t>
      </w:r>
      <w:proofErr w:type="spellStart"/>
      <w:r>
        <w:rPr>
          <w:rFonts w:ascii="Tahoma" w:hAnsi="Tahoma" w:cs="Tahoma"/>
          <w:sz w:val="20"/>
          <w:szCs w:val="20"/>
        </w:rPr>
        <w:t>Washing</w:t>
      </w:r>
      <w:proofErr w:type="spellEnd"/>
      <w:r>
        <w:rPr>
          <w:rFonts w:ascii="Tahoma" w:hAnsi="Tahoma" w:cs="Tahoma"/>
          <w:sz w:val="20"/>
          <w:szCs w:val="20"/>
        </w:rPr>
        <w:t>”. Mens signalværdien i aftalens tiltrædelse kan have en positiv effekt for erhvervslivet, kan effekten af Green-</w:t>
      </w:r>
      <w:proofErr w:type="spellStart"/>
      <w:r>
        <w:rPr>
          <w:rFonts w:ascii="Tahoma" w:hAnsi="Tahoma" w:cs="Tahoma"/>
          <w:sz w:val="20"/>
          <w:szCs w:val="20"/>
        </w:rPr>
        <w:t>Washing</w:t>
      </w:r>
      <w:proofErr w:type="spellEnd"/>
      <w:r>
        <w:rPr>
          <w:rFonts w:ascii="Tahoma" w:hAnsi="Tahoma" w:cs="Tahoma"/>
          <w:sz w:val="20"/>
          <w:szCs w:val="20"/>
        </w:rPr>
        <w:t xml:space="preserve"> være negativ for erhvervslivet og ikke mindst mulighederne for at tiltrække investeringer til Grønland.</w:t>
      </w:r>
    </w:p>
    <w:p w14:paraId="1AE4302F" w14:textId="5BCF32C3" w:rsidR="00B74FE5" w:rsidRPr="00063734" w:rsidRDefault="00B74FE5" w:rsidP="00E87951">
      <w:pPr>
        <w:rPr>
          <w:rFonts w:ascii="Tahoma" w:hAnsi="Tahoma" w:cs="Tahoma"/>
          <w:sz w:val="20"/>
          <w:szCs w:val="20"/>
        </w:rPr>
      </w:pPr>
      <w:r>
        <w:rPr>
          <w:rFonts w:ascii="Tahoma" w:hAnsi="Tahoma" w:cs="Tahoma"/>
          <w:sz w:val="20"/>
          <w:szCs w:val="20"/>
        </w:rPr>
        <w:t xml:space="preserve">En tiltrædelse af </w:t>
      </w:r>
      <w:r w:rsidR="00705B38">
        <w:rPr>
          <w:rFonts w:ascii="Tahoma" w:hAnsi="Tahoma" w:cs="Tahoma"/>
          <w:sz w:val="20"/>
          <w:szCs w:val="20"/>
        </w:rPr>
        <w:t>Pars-aftalen vil formentlig undtage både transportsektoren og råstofindustrien. For GE er det vigtigt at der findes en balance mellem et ambitiøst og seriøst bidrag til CO</w:t>
      </w:r>
      <w:r w:rsidR="00705B38" w:rsidRPr="00705B38">
        <w:rPr>
          <w:rFonts w:ascii="Tahoma" w:hAnsi="Tahoma" w:cs="Tahoma"/>
          <w:sz w:val="20"/>
          <w:szCs w:val="20"/>
          <w:vertAlign w:val="subscript"/>
        </w:rPr>
        <w:t>2</w:t>
      </w:r>
      <w:r w:rsidR="00705B38">
        <w:rPr>
          <w:rFonts w:ascii="Tahoma" w:hAnsi="Tahoma" w:cs="Tahoma"/>
          <w:sz w:val="20"/>
          <w:szCs w:val="20"/>
        </w:rPr>
        <w:t>-reduktion samt muligheden for at udvikle relevante industrier. Foreningen ser med noget bekymring på, at man flere steder i det politiske system synes at være under den overbevisning at Grønland overvejende anvender grøn energi og at man med investeringen i nye vandkraftværker vil være nærmest i mål som CO</w:t>
      </w:r>
      <w:r w:rsidR="00705B38" w:rsidRPr="00705B38">
        <w:rPr>
          <w:rFonts w:ascii="Tahoma" w:hAnsi="Tahoma" w:cs="Tahoma"/>
          <w:sz w:val="20"/>
          <w:szCs w:val="20"/>
          <w:vertAlign w:val="subscript"/>
        </w:rPr>
        <w:t>2</w:t>
      </w:r>
      <w:r w:rsidR="00705B38">
        <w:rPr>
          <w:rFonts w:ascii="Tahoma" w:hAnsi="Tahoma" w:cs="Tahoma"/>
          <w:sz w:val="20"/>
          <w:szCs w:val="20"/>
        </w:rPr>
        <w:t>-neutral. Dette er ikke tilfældet, da 84 % af vores energiforbrug i dag er ”sort” og alene 16 % ”grøn”. Dette tal vil forrykke sig lidt når der etableres nye vandkraftværker ved henholdsvis Nuuk og Diskobugten.</w:t>
      </w:r>
    </w:p>
    <w:p w14:paraId="6824CCD6" w14:textId="67A8438D" w:rsidR="00A8158A" w:rsidRPr="00DF1745" w:rsidRDefault="00E836D6" w:rsidP="00E836D6">
      <w:pPr>
        <w:pStyle w:val="Heading3"/>
        <w:rPr>
          <w:highlight w:val="yellow"/>
        </w:rPr>
      </w:pPr>
      <w:r w:rsidRPr="00E836D6">
        <w:t>Pandemien</w:t>
      </w:r>
      <w:r w:rsidR="00A8158A" w:rsidRPr="00E836D6">
        <w:t xml:space="preserve"> og erhvervslivet</w:t>
      </w:r>
    </w:p>
    <w:p w14:paraId="0D2C953F" w14:textId="035388F3" w:rsidR="00E836D6" w:rsidRDefault="000D48E8" w:rsidP="00E836D6">
      <w:pPr>
        <w:rPr>
          <w:rFonts w:ascii="Tahoma" w:hAnsi="Tahoma" w:cs="Tahoma"/>
          <w:sz w:val="20"/>
          <w:szCs w:val="20"/>
        </w:rPr>
      </w:pPr>
      <w:r w:rsidRPr="00E836D6">
        <w:rPr>
          <w:rFonts w:ascii="Tahoma" w:hAnsi="Tahoma" w:cs="Tahoma"/>
          <w:sz w:val="20"/>
          <w:szCs w:val="20"/>
        </w:rPr>
        <w:lastRenderedPageBreak/>
        <w:t xml:space="preserve">Håndteringen af </w:t>
      </w:r>
      <w:r w:rsidR="00A8158A" w:rsidRPr="00E836D6">
        <w:rPr>
          <w:rFonts w:ascii="Tahoma" w:hAnsi="Tahoma" w:cs="Tahoma"/>
          <w:sz w:val="20"/>
          <w:szCs w:val="20"/>
        </w:rPr>
        <w:t>C</w:t>
      </w:r>
      <w:r w:rsidRPr="00E836D6">
        <w:rPr>
          <w:rFonts w:ascii="Tahoma" w:hAnsi="Tahoma" w:cs="Tahoma"/>
          <w:sz w:val="20"/>
          <w:szCs w:val="20"/>
        </w:rPr>
        <w:t>OVID</w:t>
      </w:r>
      <w:r w:rsidR="00A8158A" w:rsidRPr="00E836D6">
        <w:rPr>
          <w:rFonts w:ascii="Tahoma" w:hAnsi="Tahoma" w:cs="Tahoma"/>
          <w:sz w:val="20"/>
          <w:szCs w:val="20"/>
        </w:rPr>
        <w:t>19</w:t>
      </w:r>
      <w:r w:rsidRPr="00E836D6">
        <w:rPr>
          <w:rFonts w:ascii="Tahoma" w:hAnsi="Tahoma" w:cs="Tahoma"/>
          <w:sz w:val="20"/>
          <w:szCs w:val="20"/>
        </w:rPr>
        <w:t>-</w:t>
      </w:r>
      <w:r w:rsidR="00A8158A" w:rsidRPr="00E836D6">
        <w:rPr>
          <w:rFonts w:ascii="Tahoma" w:hAnsi="Tahoma" w:cs="Tahoma"/>
          <w:sz w:val="20"/>
          <w:szCs w:val="20"/>
        </w:rPr>
        <w:t xml:space="preserve">pandemien har </w:t>
      </w:r>
      <w:r w:rsidRPr="00E836D6">
        <w:rPr>
          <w:rFonts w:ascii="Tahoma" w:hAnsi="Tahoma" w:cs="Tahoma"/>
          <w:sz w:val="20"/>
          <w:szCs w:val="20"/>
        </w:rPr>
        <w:t xml:space="preserve">haft </w:t>
      </w:r>
      <w:r w:rsidR="00A8158A" w:rsidRPr="00E836D6">
        <w:rPr>
          <w:rFonts w:ascii="Tahoma" w:hAnsi="Tahoma" w:cs="Tahoma"/>
          <w:sz w:val="20"/>
          <w:szCs w:val="20"/>
        </w:rPr>
        <w:t>store konsekvenser</w:t>
      </w:r>
      <w:r w:rsidRPr="00E836D6">
        <w:rPr>
          <w:rFonts w:ascii="Tahoma" w:hAnsi="Tahoma" w:cs="Tahoma"/>
          <w:sz w:val="20"/>
          <w:szCs w:val="20"/>
        </w:rPr>
        <w:t xml:space="preserve"> globalt</w:t>
      </w:r>
      <w:r w:rsidR="00E836D6" w:rsidRPr="00E836D6">
        <w:rPr>
          <w:rFonts w:ascii="Tahoma" w:hAnsi="Tahoma" w:cs="Tahoma"/>
          <w:sz w:val="20"/>
          <w:szCs w:val="20"/>
        </w:rPr>
        <w:t xml:space="preserve">, og i Danmark har 2022 været præget af konkurser, som forventes at fortsætte i 2023 som følge af at mange </w:t>
      </w:r>
      <w:proofErr w:type="spellStart"/>
      <w:r w:rsidR="00E836D6" w:rsidRPr="00E836D6">
        <w:rPr>
          <w:rFonts w:ascii="Tahoma" w:hAnsi="Tahoma" w:cs="Tahoma"/>
          <w:sz w:val="20"/>
          <w:szCs w:val="20"/>
        </w:rPr>
        <w:t>corona</w:t>
      </w:r>
      <w:proofErr w:type="spellEnd"/>
      <w:r w:rsidR="00E836D6" w:rsidRPr="00E836D6">
        <w:rPr>
          <w:rFonts w:ascii="Tahoma" w:hAnsi="Tahoma" w:cs="Tahoma"/>
          <w:sz w:val="20"/>
          <w:szCs w:val="20"/>
        </w:rPr>
        <w:t>-lån forfalder</w:t>
      </w:r>
      <w:r w:rsidRPr="00E836D6">
        <w:rPr>
          <w:rFonts w:ascii="Tahoma" w:hAnsi="Tahoma" w:cs="Tahoma"/>
          <w:sz w:val="20"/>
          <w:szCs w:val="20"/>
        </w:rPr>
        <w:t>.</w:t>
      </w:r>
      <w:r w:rsidR="00A8158A" w:rsidRPr="00E836D6">
        <w:rPr>
          <w:rFonts w:ascii="Tahoma" w:hAnsi="Tahoma" w:cs="Tahoma"/>
          <w:sz w:val="20"/>
          <w:szCs w:val="20"/>
        </w:rPr>
        <w:t xml:space="preserve"> Grønland</w:t>
      </w:r>
      <w:r w:rsidR="007B16D1" w:rsidRPr="00E836D6">
        <w:rPr>
          <w:rFonts w:ascii="Tahoma" w:hAnsi="Tahoma" w:cs="Tahoma"/>
          <w:sz w:val="20"/>
          <w:szCs w:val="20"/>
        </w:rPr>
        <w:t xml:space="preserve"> er sluppet nådigt gennem krisen</w:t>
      </w:r>
      <w:r w:rsidRPr="00E836D6">
        <w:rPr>
          <w:rFonts w:ascii="Tahoma" w:hAnsi="Tahoma" w:cs="Tahoma"/>
          <w:sz w:val="20"/>
          <w:szCs w:val="20"/>
        </w:rPr>
        <w:t xml:space="preserve"> i forhold til belastningen af sundhedsvæsenet, </w:t>
      </w:r>
      <w:r w:rsidR="00E836D6" w:rsidRPr="00E836D6">
        <w:rPr>
          <w:rFonts w:ascii="Tahoma" w:hAnsi="Tahoma" w:cs="Tahoma"/>
          <w:sz w:val="20"/>
          <w:szCs w:val="20"/>
        </w:rPr>
        <w:t xml:space="preserve">og det lader også til at vores erhvervsliv ikke har oplevet konkurser som følge af håndteringen. Foreningen har kendskab til virksomheder, som har nedlagt aktiviteter. Allerede i 2022 syntes store dele af oplevelsesøkonomien at være tilbage på sporet, og noget tyder på at Grønland har kunnet rejse sig hurtigere end ventet efter pandemien. Om dette er en ”ketchup-effekt”, som vi primært har glæde af i en overgangsperiode eller om der er tale om en mere blivende effekt af at folk søger mod destinationer som Grønland, vil tiden vise. </w:t>
      </w:r>
    </w:p>
    <w:p w14:paraId="597A6783" w14:textId="0E025FF2" w:rsidR="003363C6" w:rsidRDefault="003363C6" w:rsidP="00E87951">
      <w:pPr>
        <w:rPr>
          <w:rFonts w:ascii="Tahoma" w:hAnsi="Tahoma" w:cs="Tahoma"/>
          <w:sz w:val="20"/>
          <w:szCs w:val="20"/>
        </w:rPr>
      </w:pPr>
      <w:r>
        <w:rPr>
          <w:rFonts w:ascii="Tahoma" w:hAnsi="Tahoma" w:cs="Tahoma"/>
          <w:sz w:val="20"/>
          <w:szCs w:val="20"/>
        </w:rPr>
        <w:t>Erhvervslivet var begunstiget med offentlige kompensationspakker, og selvom en økonomi baseret på offentlige tilskud ikke i foreningens opinion er ønskelig, må det konstateres at pakkerne havde en positiv effekt og formentlig har været medvirkende til at de berørte erhverv har kunnet rejse sig igen efter endt pandemi.</w:t>
      </w:r>
    </w:p>
    <w:p w14:paraId="40F89422" w14:textId="595D33FD" w:rsidR="003363C6" w:rsidRDefault="003363C6" w:rsidP="003363C6">
      <w:pPr>
        <w:pStyle w:val="Heading3"/>
      </w:pPr>
      <w:r>
        <w:t>Konflikten i Ukraine</w:t>
      </w:r>
    </w:p>
    <w:p w14:paraId="4D4417E9" w14:textId="77777777" w:rsidR="003363C6" w:rsidRPr="00712A64" w:rsidRDefault="003363C6" w:rsidP="007105D1">
      <w:pPr>
        <w:rPr>
          <w:rFonts w:ascii="Tahoma" w:eastAsia="Times New Roman" w:hAnsi="Tahoma" w:cs="Tahoma"/>
          <w:sz w:val="20"/>
          <w:szCs w:val="20"/>
        </w:rPr>
      </w:pPr>
      <w:r w:rsidRPr="00712A64">
        <w:rPr>
          <w:rFonts w:ascii="Tahoma" w:eastAsia="Times New Roman" w:hAnsi="Tahoma" w:cs="Tahoma"/>
          <w:sz w:val="20"/>
          <w:szCs w:val="20"/>
        </w:rPr>
        <w:t>2022 har på mange måde været præget af Ruslands invasion af Ukraine i forlængelse af besættelsen af en række områder i Ukraine i 2014. Dels har der været en række afledte effekter, som har ramt Grønland i form af øgede energipriser på produktion og dermed højere indkøbspriser på byggematerialer og andre importvarer samt energi og dels blev Grønlands eksport til Rusland direkte ramt.</w:t>
      </w:r>
    </w:p>
    <w:p w14:paraId="1562C81C" w14:textId="77777777" w:rsidR="00C44924" w:rsidRPr="00712A64" w:rsidRDefault="00C44924" w:rsidP="007105D1">
      <w:pPr>
        <w:rPr>
          <w:rFonts w:ascii="Tahoma" w:eastAsia="Times New Roman" w:hAnsi="Tahoma" w:cs="Tahoma"/>
          <w:sz w:val="20"/>
          <w:szCs w:val="20"/>
        </w:rPr>
      </w:pPr>
      <w:r w:rsidRPr="00712A64">
        <w:rPr>
          <w:rFonts w:ascii="Tahoma" w:eastAsia="Times New Roman" w:hAnsi="Tahoma" w:cs="Tahoma"/>
          <w:sz w:val="20"/>
          <w:szCs w:val="20"/>
        </w:rPr>
        <w:t xml:space="preserve">13-14 % af Grønlands eksport i 2021 gik til det russiske marked. 2021 var et specielt år, fordi </w:t>
      </w:r>
      <w:proofErr w:type="spellStart"/>
      <w:r w:rsidRPr="00712A64">
        <w:rPr>
          <w:rFonts w:ascii="Tahoma" w:eastAsia="Times New Roman" w:hAnsi="Tahoma" w:cs="Tahoma"/>
          <w:sz w:val="20"/>
          <w:szCs w:val="20"/>
        </w:rPr>
        <w:t>corona</w:t>
      </w:r>
      <w:proofErr w:type="spellEnd"/>
      <w:r w:rsidRPr="00712A64">
        <w:rPr>
          <w:rFonts w:ascii="Tahoma" w:eastAsia="Times New Roman" w:hAnsi="Tahoma" w:cs="Tahoma"/>
          <w:sz w:val="20"/>
          <w:szCs w:val="20"/>
        </w:rPr>
        <w:t xml:space="preserve">-pandemien havde sat begrænsninger for eksporten til Kina og der dermed havde været en øget eksport til Rusland, der i værdi havde vokset til over ½ mia. kroner. </w:t>
      </w:r>
    </w:p>
    <w:p w14:paraId="5E710B9B" w14:textId="4E800DEE" w:rsidR="00F808ED" w:rsidRPr="00712A64" w:rsidRDefault="00C44924" w:rsidP="007105D1">
      <w:pPr>
        <w:rPr>
          <w:rFonts w:ascii="Tahoma" w:eastAsia="Times New Roman" w:hAnsi="Tahoma" w:cs="Tahoma"/>
          <w:sz w:val="20"/>
          <w:szCs w:val="20"/>
        </w:rPr>
      </w:pPr>
      <w:r w:rsidRPr="00712A64">
        <w:rPr>
          <w:rFonts w:ascii="Tahoma" w:eastAsia="Times New Roman" w:hAnsi="Tahoma" w:cs="Tahoma"/>
          <w:sz w:val="20"/>
          <w:szCs w:val="20"/>
        </w:rPr>
        <w:t>De indførte restriktioner fik betydning for eksporten, ligesom en række etiske betragtninger kom i spil for mange virksomheder med eksport til Rusland. Grønland havde kun tre eksporterende virksomheder, hvoraf to havde ejerskab og aktiviteter</w:t>
      </w:r>
      <w:r w:rsidR="00F808ED" w:rsidRPr="00712A64">
        <w:rPr>
          <w:rFonts w:ascii="Tahoma" w:eastAsia="Times New Roman" w:hAnsi="Tahoma" w:cs="Tahoma"/>
          <w:sz w:val="20"/>
          <w:szCs w:val="20"/>
        </w:rPr>
        <w:t xml:space="preserve"> </w:t>
      </w:r>
      <w:r w:rsidRPr="00712A64">
        <w:rPr>
          <w:rFonts w:ascii="Tahoma" w:eastAsia="Times New Roman" w:hAnsi="Tahoma" w:cs="Tahoma"/>
          <w:sz w:val="20"/>
          <w:szCs w:val="20"/>
        </w:rPr>
        <w:t xml:space="preserve">i landet. </w:t>
      </w:r>
      <w:r w:rsidR="001C0540" w:rsidRPr="00712A64">
        <w:rPr>
          <w:rFonts w:ascii="Tahoma" w:eastAsia="Times New Roman" w:hAnsi="Tahoma" w:cs="Tahoma"/>
          <w:sz w:val="20"/>
          <w:szCs w:val="20"/>
        </w:rPr>
        <w:t>Eksporten er ophørt og aktiviteter sat til salg.</w:t>
      </w:r>
    </w:p>
    <w:p w14:paraId="21A34984" w14:textId="235A65FA" w:rsidR="001C0540" w:rsidRPr="00712A64" w:rsidRDefault="001C0540" w:rsidP="007105D1">
      <w:pPr>
        <w:rPr>
          <w:rFonts w:ascii="Tahoma" w:eastAsia="Times New Roman" w:hAnsi="Tahoma" w:cs="Tahoma"/>
          <w:sz w:val="20"/>
          <w:szCs w:val="20"/>
        </w:rPr>
      </w:pPr>
      <w:r w:rsidRPr="00712A64">
        <w:rPr>
          <w:rFonts w:ascii="Tahoma" w:eastAsia="Times New Roman" w:hAnsi="Tahoma" w:cs="Tahoma"/>
          <w:sz w:val="20"/>
          <w:szCs w:val="20"/>
        </w:rPr>
        <w:t xml:space="preserve">Typisk går Grønland fri af globale udsving i verdensøkonomien som følge af en overvejende planøkonomi, hvor offentlige tilskud, krydssubsidieringer og langvarige indkøbsaftaler afbøder effekten af udsving. </w:t>
      </w:r>
      <w:r w:rsidR="00504088" w:rsidRPr="00712A64">
        <w:rPr>
          <w:rFonts w:ascii="Tahoma" w:eastAsia="Times New Roman" w:hAnsi="Tahoma" w:cs="Tahoma"/>
          <w:sz w:val="20"/>
          <w:szCs w:val="20"/>
        </w:rPr>
        <w:t>Der var dog en effekt af Ukraine-konflikten, og Naalakkersuisut indførte en hjælpepakke ved udgangen af 2022 for at dæmpe effekten på forbrugerpriserne</w:t>
      </w:r>
      <w:r w:rsidR="007464E0" w:rsidRPr="00712A64">
        <w:rPr>
          <w:rFonts w:ascii="Tahoma" w:eastAsia="Times New Roman" w:hAnsi="Tahoma" w:cs="Tahoma"/>
          <w:sz w:val="20"/>
          <w:szCs w:val="20"/>
        </w:rPr>
        <w:t xml:space="preserve">, primært i detailhandlen. </w:t>
      </w:r>
    </w:p>
    <w:p w14:paraId="5E06F419" w14:textId="1C6BBDD3" w:rsidR="007464E0" w:rsidRPr="00712A64" w:rsidRDefault="007464E0" w:rsidP="007105D1">
      <w:pPr>
        <w:rPr>
          <w:rFonts w:ascii="Tahoma" w:eastAsia="Times New Roman" w:hAnsi="Tahoma" w:cs="Tahoma"/>
          <w:sz w:val="20"/>
          <w:szCs w:val="20"/>
        </w:rPr>
      </w:pPr>
      <w:r w:rsidRPr="00712A64">
        <w:rPr>
          <w:rFonts w:ascii="Tahoma" w:eastAsia="Times New Roman" w:hAnsi="Tahoma" w:cs="Tahoma"/>
          <w:sz w:val="20"/>
          <w:szCs w:val="20"/>
        </w:rPr>
        <w:t xml:space="preserve">Grønlands Erhverv ser også nødvendigheden af sanktioner mod Rusland, og finder det vigtigt at Grønland støtter de tiltag som Danmark, EU og FN iværksætter. </w:t>
      </w:r>
    </w:p>
    <w:p w14:paraId="45D57B0C" w14:textId="356FA252" w:rsidR="006843E0" w:rsidRPr="009D5258" w:rsidRDefault="006843E0" w:rsidP="009D5258">
      <w:pPr>
        <w:pStyle w:val="Heading3"/>
      </w:pPr>
      <w:r w:rsidRPr="009D5258">
        <w:t>Fiskeriet</w:t>
      </w:r>
    </w:p>
    <w:p w14:paraId="092DFCCA" w14:textId="0532D526" w:rsidR="009D5258" w:rsidRPr="00B14C1C" w:rsidRDefault="009D5258" w:rsidP="00F22256">
      <w:pPr>
        <w:rPr>
          <w:rFonts w:ascii="Tahoma" w:eastAsia="Times New Roman" w:hAnsi="Tahoma" w:cs="Tahoma"/>
          <w:sz w:val="20"/>
          <w:szCs w:val="20"/>
        </w:rPr>
      </w:pPr>
      <w:r w:rsidRPr="00B14C1C">
        <w:rPr>
          <w:rFonts w:ascii="Tahoma" w:eastAsia="Times New Roman" w:hAnsi="Tahoma" w:cs="Tahoma"/>
          <w:sz w:val="20"/>
          <w:szCs w:val="20"/>
        </w:rPr>
        <w:t xml:space="preserve">Det må konstateres, at frihandelsaftalen med Storbritannien efter Brexit fortsat ikke er på plads, og at man fra britisk side ønsker at opnå kvoteadgang i grønlandsk farvand, som man havde mens man var med i EU, som en forudsætning for en frihandelsaftale. </w:t>
      </w:r>
      <w:r w:rsidR="00EA363D" w:rsidRPr="00B14C1C">
        <w:rPr>
          <w:rFonts w:ascii="Tahoma" w:eastAsia="Times New Roman" w:hAnsi="Tahoma" w:cs="Tahoma"/>
          <w:sz w:val="20"/>
          <w:szCs w:val="20"/>
        </w:rPr>
        <w:t xml:space="preserve">Konsekvensen af de manglende aftaler er øgede toldafgifter for eksport til Storbritannien. </w:t>
      </w:r>
      <w:r w:rsidR="00160E41" w:rsidRPr="00B14C1C">
        <w:rPr>
          <w:rFonts w:ascii="Tahoma" w:eastAsia="Times New Roman" w:hAnsi="Tahoma" w:cs="Tahoma"/>
          <w:sz w:val="20"/>
          <w:szCs w:val="20"/>
        </w:rPr>
        <w:t xml:space="preserve">GE har tidligere vurderet at de øgede omkostninger er ca. 300 mio. DKK i told og afgifter. For nuværende er Grønland tredjeland for Storbritannien </w:t>
      </w:r>
    </w:p>
    <w:p w14:paraId="581583F1" w14:textId="3B54D730" w:rsidR="00EA363D" w:rsidRPr="00B14C1C" w:rsidRDefault="00EA363D" w:rsidP="00F22256">
      <w:pPr>
        <w:rPr>
          <w:rFonts w:ascii="Tahoma" w:eastAsia="Times New Roman" w:hAnsi="Tahoma" w:cs="Tahoma"/>
          <w:sz w:val="20"/>
          <w:szCs w:val="20"/>
        </w:rPr>
      </w:pPr>
      <w:r w:rsidRPr="00B14C1C">
        <w:rPr>
          <w:rFonts w:ascii="Tahoma" w:eastAsia="Times New Roman" w:hAnsi="Tahoma" w:cs="Tahoma"/>
          <w:sz w:val="20"/>
          <w:szCs w:val="20"/>
        </w:rPr>
        <w:t xml:space="preserve">Den såkaldte fødevarekrise i verden medfører bl.a. at der kan opnås højere priser for fødevarer, herunder de grønlandske eksportprodukter. Markedsmæssigt har den forgangne periode derfor været gunstig, også selvom store dele af eksporten har skullet omlægges fra det russiske marked til andre markeder. </w:t>
      </w:r>
    </w:p>
    <w:p w14:paraId="40D00E60" w14:textId="0F322319" w:rsidR="003E4B55" w:rsidRDefault="003E4B55" w:rsidP="00F22256">
      <w:pPr>
        <w:rPr>
          <w:rFonts w:ascii="Tahoma" w:eastAsia="Times New Roman" w:hAnsi="Tahoma" w:cs="Tahoma"/>
          <w:sz w:val="20"/>
          <w:szCs w:val="20"/>
        </w:rPr>
      </w:pPr>
      <w:bookmarkStart w:id="0" w:name="_Hlk128574113"/>
      <w:r w:rsidRPr="00B14C1C">
        <w:rPr>
          <w:rFonts w:ascii="Tahoma" w:eastAsia="Times New Roman" w:hAnsi="Tahoma" w:cs="Tahoma"/>
          <w:sz w:val="20"/>
          <w:szCs w:val="20"/>
        </w:rPr>
        <w:lastRenderedPageBreak/>
        <w:t xml:space="preserve">Der er ved indgangen til 2023 </w:t>
      </w:r>
      <w:r w:rsidR="007F31CD" w:rsidRPr="00B14C1C">
        <w:rPr>
          <w:rFonts w:ascii="Tahoma" w:eastAsia="Times New Roman" w:hAnsi="Tahoma" w:cs="Tahoma"/>
          <w:sz w:val="20"/>
          <w:szCs w:val="20"/>
        </w:rPr>
        <w:t>stillet</w:t>
      </w:r>
      <w:r w:rsidRPr="00B14C1C">
        <w:rPr>
          <w:rFonts w:ascii="Tahoma" w:eastAsia="Times New Roman" w:hAnsi="Tahoma" w:cs="Tahoma"/>
          <w:sz w:val="20"/>
          <w:szCs w:val="20"/>
        </w:rPr>
        <w:t xml:space="preserve"> en ny aktør indenfor torskefiskeriet en kvote på 7.</w:t>
      </w:r>
      <w:r w:rsidR="007F31CD" w:rsidRPr="00B14C1C">
        <w:rPr>
          <w:rFonts w:ascii="Tahoma" w:eastAsia="Times New Roman" w:hAnsi="Tahoma" w:cs="Tahoma"/>
          <w:sz w:val="20"/>
          <w:szCs w:val="20"/>
        </w:rPr>
        <w:t>515</w:t>
      </w:r>
      <w:r w:rsidRPr="00B14C1C">
        <w:rPr>
          <w:rFonts w:ascii="Tahoma" w:eastAsia="Times New Roman" w:hAnsi="Tahoma" w:cs="Tahoma"/>
          <w:sz w:val="20"/>
          <w:szCs w:val="20"/>
        </w:rPr>
        <w:t xml:space="preserve"> tons ved Østgrønland</w:t>
      </w:r>
      <w:r w:rsidR="007F31CD" w:rsidRPr="00B14C1C">
        <w:rPr>
          <w:rFonts w:ascii="Tahoma" w:eastAsia="Times New Roman" w:hAnsi="Tahoma" w:cs="Tahoma"/>
          <w:sz w:val="20"/>
          <w:szCs w:val="20"/>
        </w:rPr>
        <w:t xml:space="preserve"> i udsigt</w:t>
      </w:r>
      <w:r w:rsidRPr="00B14C1C">
        <w:rPr>
          <w:rFonts w:ascii="Tahoma" w:eastAsia="Times New Roman" w:hAnsi="Tahoma" w:cs="Tahoma"/>
          <w:sz w:val="20"/>
          <w:szCs w:val="20"/>
        </w:rPr>
        <w:t xml:space="preserve">. </w:t>
      </w:r>
      <w:r w:rsidR="00B03862" w:rsidRPr="00B14C1C">
        <w:rPr>
          <w:rFonts w:ascii="Tahoma" w:eastAsia="Times New Roman" w:hAnsi="Tahoma" w:cs="Tahoma"/>
          <w:sz w:val="20"/>
          <w:szCs w:val="20"/>
        </w:rPr>
        <w:t xml:space="preserve">Foreningen finder det problematisk, at der sker en ikke-biologisk-bæredygtig udvidelse og at det effektive fiskeri begrænses yderligere ved at indlemme flere aktører i strid med de retningslinjer, som ellers gælder, og hvor eksisterende aktører kan opnå adgang til evt. nye kvoter. </w:t>
      </w:r>
    </w:p>
    <w:bookmarkEnd w:id="0"/>
    <w:p w14:paraId="15A80EF2" w14:textId="501AEED9" w:rsidR="00D26DF1" w:rsidRDefault="00D26DF1" w:rsidP="00F22256">
      <w:pPr>
        <w:rPr>
          <w:rFonts w:ascii="Tahoma" w:eastAsia="Times New Roman" w:hAnsi="Tahoma" w:cs="Tahoma"/>
          <w:sz w:val="20"/>
          <w:szCs w:val="20"/>
        </w:rPr>
      </w:pPr>
      <w:r>
        <w:rPr>
          <w:rFonts w:ascii="Tahoma" w:eastAsia="Times New Roman" w:hAnsi="Tahoma" w:cs="Tahoma"/>
          <w:sz w:val="20"/>
          <w:szCs w:val="20"/>
        </w:rPr>
        <w:t xml:space="preserve">Fiskerikommissionens rapport skal danne rammerne for en ny fiskerilov, som forventes at blive behandlet i sidste halvdel af 2023. Grønlands Erhverv driver i samarbejde med Polar </w:t>
      </w:r>
      <w:proofErr w:type="spellStart"/>
      <w:r>
        <w:rPr>
          <w:rFonts w:ascii="Tahoma" w:eastAsia="Times New Roman" w:hAnsi="Tahoma" w:cs="Tahoma"/>
          <w:sz w:val="20"/>
          <w:szCs w:val="20"/>
        </w:rPr>
        <w:t>Seafood</w:t>
      </w:r>
      <w:proofErr w:type="spellEnd"/>
      <w:r>
        <w:rPr>
          <w:rFonts w:ascii="Tahoma" w:eastAsia="Times New Roman" w:hAnsi="Tahoma" w:cs="Tahoma"/>
          <w:sz w:val="20"/>
          <w:szCs w:val="20"/>
        </w:rPr>
        <w:t xml:space="preserve"> en Facebook kampagne om det grønlandske fiskeri</w:t>
      </w:r>
      <w:r w:rsidR="006D3948">
        <w:rPr>
          <w:rFonts w:ascii="Tahoma" w:eastAsia="Times New Roman" w:hAnsi="Tahoma" w:cs="Tahoma"/>
          <w:sz w:val="20"/>
          <w:szCs w:val="20"/>
        </w:rPr>
        <w:t>, under titlen ”Bevar Grønlands Fiskeri”</w:t>
      </w:r>
      <w:r>
        <w:rPr>
          <w:rFonts w:ascii="Tahoma" w:eastAsia="Times New Roman" w:hAnsi="Tahoma" w:cs="Tahoma"/>
          <w:sz w:val="20"/>
          <w:szCs w:val="20"/>
        </w:rPr>
        <w:t xml:space="preserve"> med målet om at engagere befolkningen mest muligt i landets største erhverv. </w:t>
      </w:r>
    </w:p>
    <w:p w14:paraId="3449DB6A" w14:textId="3C212779" w:rsidR="006D3948" w:rsidRPr="00D26DF1" w:rsidRDefault="006D3948" w:rsidP="00F22256">
      <w:pPr>
        <w:rPr>
          <w:rFonts w:ascii="Tahoma" w:eastAsia="Times New Roman" w:hAnsi="Tahoma" w:cs="Tahoma"/>
          <w:sz w:val="20"/>
          <w:szCs w:val="20"/>
        </w:rPr>
      </w:pPr>
      <w:r>
        <w:rPr>
          <w:rFonts w:ascii="Tahoma" w:eastAsia="Times New Roman" w:hAnsi="Tahoma" w:cs="Tahoma"/>
          <w:sz w:val="20"/>
          <w:szCs w:val="20"/>
        </w:rPr>
        <w:t>Foreningen arbejder for et effektivt fiskeri, der er bæredygtigt og bidrager til landets velfærd. Foreningen er derfor positivt stemt overfor individuelt omsættelige kvoter (IOK), der giver et godt grundlag for fiskerne til at dels planlægge og dels opkøbe, så de på sigt kan vokse deres aktiviteter. En konsekvens af et effektivt fiskeri kan forhåbentligt også være, at der kan frigives ressourcer til andre sektorer, der mangler arbejdskraft, ligesom fremtidens fokus på turismen også kræver nye kræfter.</w:t>
      </w:r>
    </w:p>
    <w:p w14:paraId="5F04253D" w14:textId="0B3AF508" w:rsidR="007E42C5" w:rsidRDefault="007E42C5" w:rsidP="00E3522B">
      <w:pPr>
        <w:pStyle w:val="Heading3"/>
      </w:pPr>
      <w:r w:rsidRPr="007E42C5">
        <w:t>Ny råstoflov</w:t>
      </w:r>
      <w:r w:rsidR="008D71A5">
        <w:t xml:space="preserve"> og lov om forbud mod udnyttelse af uran</w:t>
      </w:r>
    </w:p>
    <w:p w14:paraId="6FD6D818" w14:textId="5827B7AC" w:rsidR="005D1657" w:rsidRPr="00B14C1C" w:rsidRDefault="005D1657" w:rsidP="005908DC">
      <w:pPr>
        <w:rPr>
          <w:rFonts w:ascii="Tahoma" w:hAnsi="Tahoma" w:cs="Tahoma"/>
          <w:sz w:val="20"/>
          <w:szCs w:val="20"/>
        </w:rPr>
      </w:pPr>
      <w:r w:rsidRPr="00B14C1C">
        <w:rPr>
          <w:rFonts w:ascii="Tahoma" w:hAnsi="Tahoma" w:cs="Tahoma"/>
          <w:sz w:val="20"/>
          <w:szCs w:val="20"/>
        </w:rPr>
        <w:t xml:space="preserve">Generelt er meldingen fra omverdenen og råstofsektoren, at Grønland overvejende </w:t>
      </w:r>
      <w:r w:rsidR="00242099" w:rsidRPr="00B14C1C">
        <w:rPr>
          <w:rFonts w:ascii="Tahoma" w:hAnsi="Tahoma" w:cs="Tahoma"/>
          <w:sz w:val="20"/>
          <w:szCs w:val="20"/>
        </w:rPr>
        <w:t>opleves som værende</w:t>
      </w:r>
      <w:r w:rsidRPr="00B14C1C">
        <w:rPr>
          <w:rFonts w:ascii="Tahoma" w:hAnsi="Tahoma" w:cs="Tahoma"/>
          <w:sz w:val="20"/>
          <w:szCs w:val="20"/>
        </w:rPr>
        <w:t xml:space="preserve"> imod mine-aktiviteter, og det er der behov for at adressere, hvis vi ønsker minebranchen som en blivende del af vores økonomi. Alt imens der opleves interesse for Grønlands undergrund, </w:t>
      </w:r>
      <w:r w:rsidR="00FD4E53" w:rsidRPr="00B14C1C">
        <w:rPr>
          <w:rFonts w:ascii="Tahoma" w:hAnsi="Tahoma" w:cs="Tahoma"/>
          <w:sz w:val="20"/>
          <w:szCs w:val="20"/>
        </w:rPr>
        <w:t xml:space="preserve">opleves det </w:t>
      </w:r>
      <w:r w:rsidRPr="00B14C1C">
        <w:rPr>
          <w:rFonts w:ascii="Tahoma" w:hAnsi="Tahoma" w:cs="Tahoma"/>
          <w:sz w:val="20"/>
          <w:szCs w:val="20"/>
        </w:rPr>
        <w:t>svær</w:t>
      </w:r>
      <w:r w:rsidR="00FD4E53" w:rsidRPr="00B14C1C">
        <w:rPr>
          <w:rFonts w:ascii="Tahoma" w:hAnsi="Tahoma" w:cs="Tahoma"/>
          <w:sz w:val="20"/>
          <w:szCs w:val="20"/>
        </w:rPr>
        <w:t>ere</w:t>
      </w:r>
      <w:r w:rsidRPr="00B14C1C">
        <w:rPr>
          <w:rFonts w:ascii="Tahoma" w:hAnsi="Tahoma" w:cs="Tahoma"/>
          <w:sz w:val="20"/>
          <w:szCs w:val="20"/>
        </w:rPr>
        <w:t xml:space="preserve"> at finde finansiering til de projekter, der for tiden er i gang eller under vejs.</w:t>
      </w:r>
      <w:r w:rsidR="0042699F" w:rsidRPr="00B14C1C">
        <w:rPr>
          <w:rFonts w:ascii="Tahoma" w:hAnsi="Tahoma" w:cs="Tahoma"/>
          <w:sz w:val="20"/>
          <w:szCs w:val="20"/>
        </w:rPr>
        <w:t xml:space="preserve"> Generelt opleves Grønland også som værende imod udefrakommende involvering i industrien, hvilket dog vil være en forudsætning for at få etableret en egentlig blivende råstofsektor.</w:t>
      </w:r>
      <w:r w:rsidR="00FD4E53" w:rsidRPr="00B14C1C">
        <w:rPr>
          <w:rFonts w:ascii="Tahoma" w:hAnsi="Tahoma" w:cs="Tahoma"/>
          <w:sz w:val="20"/>
          <w:szCs w:val="20"/>
        </w:rPr>
        <w:t xml:space="preserve"> Intentionerne i forslaget til en ny råstoflov er </w:t>
      </w:r>
      <w:r w:rsidR="00C55D8F" w:rsidRPr="00B14C1C">
        <w:rPr>
          <w:rFonts w:ascii="Tahoma" w:hAnsi="Tahoma" w:cs="Tahoma"/>
          <w:sz w:val="20"/>
          <w:szCs w:val="20"/>
        </w:rPr>
        <w:t>dog</w:t>
      </w:r>
      <w:r w:rsidR="00FD4E53" w:rsidRPr="00B14C1C">
        <w:rPr>
          <w:rFonts w:ascii="Tahoma" w:hAnsi="Tahoma" w:cs="Tahoma"/>
          <w:sz w:val="20"/>
          <w:szCs w:val="20"/>
        </w:rPr>
        <w:t xml:space="preserve"> at gøre Grønland mere investorvenligt.</w:t>
      </w:r>
    </w:p>
    <w:p w14:paraId="49DC9494" w14:textId="644DA054" w:rsidR="00CD1AAE" w:rsidRPr="00B14C1C" w:rsidRDefault="00CD1AAE" w:rsidP="00052A2E">
      <w:pPr>
        <w:shd w:val="clear" w:color="auto" w:fill="FFFFFF"/>
        <w:spacing w:after="240"/>
        <w:textAlignment w:val="baseline"/>
        <w:rPr>
          <w:rStyle w:val="SubtleEmphasis"/>
          <w:rFonts w:ascii="Tahoma" w:hAnsi="Tahoma" w:cs="Tahoma"/>
          <w:sz w:val="20"/>
          <w:szCs w:val="20"/>
        </w:rPr>
      </w:pPr>
      <w:r w:rsidRPr="00B14C1C">
        <w:rPr>
          <w:rStyle w:val="SubtleEmphasis"/>
          <w:rFonts w:ascii="Tahoma" w:hAnsi="Tahoma" w:cs="Tahoma"/>
          <w:sz w:val="20"/>
          <w:szCs w:val="20"/>
        </w:rPr>
        <w:t>Uranforbud</w:t>
      </w:r>
    </w:p>
    <w:p w14:paraId="12408485" w14:textId="174EECBC" w:rsidR="00052A2E" w:rsidRPr="00B14C1C" w:rsidRDefault="00052A2E" w:rsidP="00F22256">
      <w:pPr>
        <w:rPr>
          <w:rFonts w:ascii="Tahoma" w:hAnsi="Tahoma" w:cs="Tahoma"/>
          <w:sz w:val="20"/>
          <w:szCs w:val="20"/>
        </w:rPr>
      </w:pPr>
      <w:r w:rsidRPr="00B14C1C">
        <w:rPr>
          <w:rFonts w:ascii="Tahoma" w:hAnsi="Tahoma" w:cs="Tahoma"/>
          <w:sz w:val="20"/>
          <w:szCs w:val="20"/>
        </w:rPr>
        <w:t xml:space="preserve">Inatsisartut vedtog i 2022 den forventede lov med forbud mod forundersøgelse, efterforskning og udnyttelse af uran. Loven indførte også et forbud mod forundersøgelse, efterforskning eller udnyttelse af andre mineraler end uran, hvis det gennemsnitlige indhold af uran i den samlede ressource er 100 ppm eller derover. Loven åbner desuden mulighed for at Naalakkersuisut kan fastsætte tilsvarende forbud for andre radioaktive grundstoffer end uran i bekendtgørelsesform, dvs. uden en parlamentarisk proces og involvering af Inatsisartut. </w:t>
      </w:r>
    </w:p>
    <w:p w14:paraId="0D9823B9" w14:textId="04FA75AD" w:rsidR="0044239B" w:rsidRPr="00B14C1C" w:rsidRDefault="0044239B" w:rsidP="00F22256">
      <w:pPr>
        <w:rPr>
          <w:rFonts w:ascii="Tahoma" w:hAnsi="Tahoma" w:cs="Tahoma"/>
          <w:sz w:val="20"/>
          <w:szCs w:val="20"/>
        </w:rPr>
      </w:pPr>
      <w:r w:rsidRPr="00B14C1C">
        <w:rPr>
          <w:rFonts w:ascii="Tahoma" w:hAnsi="Tahoma" w:cs="Tahoma"/>
          <w:sz w:val="20"/>
          <w:szCs w:val="20"/>
        </w:rPr>
        <w:t>Alle steder, hvor uran er en forekomst, udgør forekomsten et emne til debat. Grønland er ingen undtagelse, og foreningen har ikke indtaget en selvstændig holdning til emnet uran, men ser med bekymring på de udfordringer og usikkerheder som loven skaber, ikke mindst adgangen til at kunne indføre yderligere forbud uden en parlamentarisk proces. Denne adgang vil forventeligt primært være gældende for thorium, og usikkerheden om hvorvidt et sådan forbud vil blive indført medfører netop nu usikkerhed hos efterforskningsselskaber og ikke mindst investorer. Generelt er det blevet sværere for selskaberne at sikre sig finansiering efter lovens indførelse.</w:t>
      </w:r>
    </w:p>
    <w:p w14:paraId="4DF2B8C1" w14:textId="44075362" w:rsidR="007E42C5" w:rsidRPr="00B14C1C" w:rsidRDefault="00052A2E" w:rsidP="00052A2E">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Loven gælder alene for fremtidige tilladelser, der udstedes efter lovens ikrafttræden</w:t>
      </w:r>
      <w:r w:rsidR="0044239B" w:rsidRPr="00B14C1C">
        <w:rPr>
          <w:rFonts w:ascii="Tahoma" w:hAnsi="Tahoma" w:cs="Tahoma"/>
          <w:color w:val="000000"/>
          <w:sz w:val="20"/>
          <w:szCs w:val="20"/>
        </w:rPr>
        <w:t xml:space="preserve">, men den </w:t>
      </w:r>
      <w:r w:rsidRPr="00B14C1C">
        <w:rPr>
          <w:rFonts w:ascii="Tahoma" w:hAnsi="Tahoma" w:cs="Tahoma"/>
          <w:color w:val="000000"/>
          <w:sz w:val="20"/>
          <w:szCs w:val="20"/>
        </w:rPr>
        <w:t xml:space="preserve">vil dog </w:t>
      </w:r>
      <w:r w:rsidR="0044239B" w:rsidRPr="00B14C1C">
        <w:rPr>
          <w:rFonts w:ascii="Tahoma" w:hAnsi="Tahoma" w:cs="Tahoma"/>
          <w:color w:val="000000"/>
          <w:sz w:val="20"/>
          <w:szCs w:val="20"/>
        </w:rPr>
        <w:t>kunne få b</w:t>
      </w:r>
      <w:r w:rsidRPr="00B14C1C">
        <w:rPr>
          <w:rFonts w:ascii="Tahoma" w:hAnsi="Tahoma" w:cs="Tahoma"/>
          <w:color w:val="000000"/>
          <w:sz w:val="20"/>
          <w:szCs w:val="20"/>
        </w:rPr>
        <w:t xml:space="preserve">etydning for udvikling af eksisterende projekter i efterforskningsstadiet </w:t>
      </w:r>
      <w:r w:rsidR="0044239B" w:rsidRPr="00B14C1C">
        <w:rPr>
          <w:rFonts w:ascii="Tahoma" w:hAnsi="Tahoma" w:cs="Tahoma"/>
          <w:color w:val="000000"/>
          <w:sz w:val="20"/>
          <w:szCs w:val="20"/>
        </w:rPr>
        <w:t xml:space="preserve">og disses </w:t>
      </w:r>
      <w:r w:rsidRPr="00B14C1C">
        <w:rPr>
          <w:rFonts w:ascii="Tahoma" w:hAnsi="Tahoma" w:cs="Tahoma"/>
          <w:color w:val="000000"/>
          <w:sz w:val="20"/>
          <w:szCs w:val="20"/>
        </w:rPr>
        <w:t xml:space="preserve">mulighed for at </w:t>
      </w:r>
      <w:r w:rsidR="0044239B" w:rsidRPr="00B14C1C">
        <w:rPr>
          <w:rFonts w:ascii="Tahoma" w:hAnsi="Tahoma" w:cs="Tahoma"/>
          <w:color w:val="000000"/>
          <w:sz w:val="20"/>
          <w:szCs w:val="20"/>
        </w:rPr>
        <w:t>opnå</w:t>
      </w:r>
      <w:r w:rsidRPr="00B14C1C">
        <w:rPr>
          <w:rFonts w:ascii="Tahoma" w:hAnsi="Tahoma" w:cs="Tahoma"/>
          <w:color w:val="000000"/>
          <w:sz w:val="20"/>
          <w:szCs w:val="20"/>
        </w:rPr>
        <w:t xml:space="preserve"> en udnyttelsestilladelse, </w:t>
      </w:r>
      <w:r w:rsidR="0044239B" w:rsidRPr="00B14C1C">
        <w:rPr>
          <w:rFonts w:ascii="Tahoma" w:hAnsi="Tahoma" w:cs="Tahoma"/>
          <w:color w:val="000000"/>
          <w:sz w:val="20"/>
          <w:szCs w:val="20"/>
        </w:rPr>
        <w:t>hvis</w:t>
      </w:r>
      <w:r w:rsidRPr="00B14C1C">
        <w:rPr>
          <w:rFonts w:ascii="Tahoma" w:hAnsi="Tahoma" w:cs="Tahoma"/>
          <w:color w:val="000000"/>
          <w:sz w:val="20"/>
          <w:szCs w:val="20"/>
        </w:rPr>
        <w:t xml:space="preserve"> projektet involverer en forekomst, hvor grænseværdien for uran overskrides.</w:t>
      </w:r>
    </w:p>
    <w:p w14:paraId="6816A74C" w14:textId="0D78B4C7" w:rsidR="00611242" w:rsidRPr="00B14C1C" w:rsidRDefault="00611242" w:rsidP="00052A2E">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 xml:space="preserve">Greenland Minerals, der siden 2007 har arbejdet på </w:t>
      </w:r>
      <w:proofErr w:type="spellStart"/>
      <w:r w:rsidRPr="00B14C1C">
        <w:rPr>
          <w:rFonts w:ascii="Tahoma" w:hAnsi="Tahoma" w:cs="Tahoma"/>
          <w:color w:val="000000"/>
          <w:sz w:val="20"/>
          <w:szCs w:val="20"/>
        </w:rPr>
        <w:t>Kvanefjeldsprojektet</w:t>
      </w:r>
      <w:proofErr w:type="spellEnd"/>
      <w:r w:rsidRPr="00B14C1C">
        <w:rPr>
          <w:rFonts w:ascii="Tahoma" w:hAnsi="Tahoma" w:cs="Tahoma"/>
          <w:color w:val="000000"/>
          <w:sz w:val="20"/>
          <w:szCs w:val="20"/>
        </w:rPr>
        <w:t xml:space="preserve"> ved </w:t>
      </w:r>
      <w:proofErr w:type="spellStart"/>
      <w:r w:rsidRPr="00B14C1C">
        <w:rPr>
          <w:rFonts w:ascii="Tahoma" w:hAnsi="Tahoma" w:cs="Tahoma"/>
          <w:color w:val="000000"/>
          <w:sz w:val="20"/>
          <w:szCs w:val="20"/>
        </w:rPr>
        <w:t>Narsaq</w:t>
      </w:r>
      <w:proofErr w:type="spellEnd"/>
      <w:r w:rsidRPr="00B14C1C">
        <w:rPr>
          <w:rFonts w:ascii="Tahoma" w:hAnsi="Tahoma" w:cs="Tahoma"/>
          <w:color w:val="000000"/>
          <w:sz w:val="20"/>
          <w:szCs w:val="20"/>
        </w:rPr>
        <w:t xml:space="preserve">, har anlagt en voldgiftssag mod Naalakkersuisut og den danske regering. Den verserende sag tjener ikke et positivt formål for Grønlands omdømme som kommende mineland, men er omvendt en naturlig konsekvens af at Grønland </w:t>
      </w:r>
      <w:r w:rsidRPr="00B14C1C">
        <w:rPr>
          <w:rFonts w:ascii="Tahoma" w:hAnsi="Tahoma" w:cs="Tahoma"/>
          <w:color w:val="000000"/>
          <w:sz w:val="20"/>
          <w:szCs w:val="20"/>
        </w:rPr>
        <w:lastRenderedPageBreak/>
        <w:t>netop ønsker at agere på en international arena og i mineindustrien. Sagen kan dermed være dyre, men nødvendige</w:t>
      </w:r>
      <w:r w:rsidR="006000C1" w:rsidRPr="00B14C1C">
        <w:rPr>
          <w:rFonts w:ascii="Tahoma" w:hAnsi="Tahoma" w:cs="Tahoma"/>
          <w:color w:val="000000"/>
          <w:sz w:val="20"/>
          <w:szCs w:val="20"/>
        </w:rPr>
        <w:t>,</w:t>
      </w:r>
      <w:r w:rsidRPr="00B14C1C">
        <w:rPr>
          <w:rFonts w:ascii="Tahoma" w:hAnsi="Tahoma" w:cs="Tahoma"/>
          <w:color w:val="000000"/>
          <w:sz w:val="20"/>
          <w:szCs w:val="20"/>
        </w:rPr>
        <w:t xml:space="preserve"> lærepenge for Grønland</w:t>
      </w:r>
      <w:r w:rsidR="006000C1" w:rsidRPr="00B14C1C">
        <w:rPr>
          <w:rFonts w:ascii="Tahoma" w:hAnsi="Tahoma" w:cs="Tahoma"/>
          <w:color w:val="000000"/>
          <w:sz w:val="20"/>
          <w:szCs w:val="20"/>
        </w:rPr>
        <w:t>.</w:t>
      </w:r>
    </w:p>
    <w:p w14:paraId="4D57308C" w14:textId="2AC3F0A9" w:rsidR="00CD1AAE" w:rsidRPr="00B14C1C" w:rsidRDefault="00CD1AAE" w:rsidP="00052A2E">
      <w:pPr>
        <w:shd w:val="clear" w:color="auto" w:fill="FFFFFF"/>
        <w:spacing w:after="240"/>
        <w:textAlignment w:val="baseline"/>
        <w:rPr>
          <w:rStyle w:val="SubtleEmphasis"/>
          <w:rFonts w:ascii="Tahoma" w:hAnsi="Tahoma" w:cs="Tahoma"/>
          <w:sz w:val="20"/>
          <w:szCs w:val="20"/>
        </w:rPr>
      </w:pPr>
      <w:r w:rsidRPr="00B14C1C">
        <w:rPr>
          <w:rStyle w:val="SubtleEmphasis"/>
          <w:rFonts w:ascii="Tahoma" w:hAnsi="Tahoma" w:cs="Tahoma"/>
          <w:sz w:val="20"/>
          <w:szCs w:val="20"/>
        </w:rPr>
        <w:t>Råstoflov</w:t>
      </w:r>
    </w:p>
    <w:p w14:paraId="2F958890" w14:textId="5FD37F26" w:rsidR="00254B20" w:rsidRPr="00B14C1C" w:rsidRDefault="00F11F27" w:rsidP="00052A2E">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 xml:space="preserve">Der er fremsat forslag om en ny råstoflov, der </w:t>
      </w:r>
      <w:r w:rsidR="009B2D61" w:rsidRPr="00B14C1C">
        <w:rPr>
          <w:rFonts w:ascii="Tahoma" w:hAnsi="Tahoma" w:cs="Tahoma"/>
          <w:color w:val="000000"/>
          <w:sz w:val="20"/>
          <w:szCs w:val="20"/>
        </w:rPr>
        <w:t xml:space="preserve">forventes at </w:t>
      </w:r>
      <w:r w:rsidRPr="00B14C1C">
        <w:rPr>
          <w:rFonts w:ascii="Tahoma" w:hAnsi="Tahoma" w:cs="Tahoma"/>
          <w:color w:val="000000"/>
          <w:sz w:val="20"/>
          <w:szCs w:val="20"/>
        </w:rPr>
        <w:t xml:space="preserve">træde i kraft i </w:t>
      </w:r>
      <w:r w:rsidR="009B2D61" w:rsidRPr="00B14C1C">
        <w:rPr>
          <w:rFonts w:ascii="Tahoma" w:hAnsi="Tahoma" w:cs="Tahoma"/>
          <w:color w:val="000000"/>
          <w:sz w:val="20"/>
          <w:szCs w:val="20"/>
        </w:rPr>
        <w:t>1. juli</w:t>
      </w:r>
      <w:r w:rsidRPr="00B14C1C">
        <w:rPr>
          <w:rFonts w:ascii="Tahoma" w:hAnsi="Tahoma" w:cs="Tahoma"/>
          <w:color w:val="000000"/>
          <w:sz w:val="20"/>
          <w:szCs w:val="20"/>
        </w:rPr>
        <w:t xml:space="preserve"> 2023.</w:t>
      </w:r>
      <w:r w:rsidR="00C72BCA" w:rsidRPr="00B14C1C">
        <w:rPr>
          <w:rFonts w:ascii="Tahoma" w:hAnsi="Tahoma" w:cs="Tahoma"/>
          <w:color w:val="000000"/>
          <w:sz w:val="20"/>
          <w:szCs w:val="20"/>
        </w:rPr>
        <w:t xml:space="preserve"> Den ny lov vil også </w:t>
      </w:r>
      <w:r w:rsidR="004E404E" w:rsidRPr="00B14C1C">
        <w:rPr>
          <w:rFonts w:ascii="Tahoma" w:hAnsi="Tahoma" w:cs="Tahoma"/>
          <w:color w:val="000000"/>
          <w:sz w:val="20"/>
          <w:szCs w:val="20"/>
        </w:rPr>
        <w:t>gælde</w:t>
      </w:r>
      <w:r w:rsidR="00C72BCA" w:rsidRPr="00B14C1C">
        <w:rPr>
          <w:rFonts w:ascii="Tahoma" w:hAnsi="Tahoma" w:cs="Tahoma"/>
          <w:color w:val="000000"/>
          <w:sz w:val="20"/>
          <w:szCs w:val="20"/>
        </w:rPr>
        <w:t xml:space="preserve"> for allerede udstedte licenser.</w:t>
      </w:r>
      <w:r w:rsidRPr="00B14C1C">
        <w:rPr>
          <w:rFonts w:ascii="Tahoma" w:hAnsi="Tahoma" w:cs="Tahoma"/>
          <w:color w:val="000000"/>
          <w:sz w:val="20"/>
          <w:szCs w:val="20"/>
        </w:rPr>
        <w:t xml:space="preserve"> </w:t>
      </w:r>
      <w:r w:rsidR="006529B6" w:rsidRPr="00B14C1C">
        <w:rPr>
          <w:rFonts w:ascii="Tahoma" w:hAnsi="Tahoma" w:cs="Tahoma"/>
          <w:color w:val="000000"/>
          <w:sz w:val="20"/>
          <w:szCs w:val="20"/>
        </w:rPr>
        <w:t>L</w:t>
      </w:r>
      <w:r w:rsidRPr="00B14C1C">
        <w:rPr>
          <w:rFonts w:ascii="Tahoma" w:hAnsi="Tahoma" w:cs="Tahoma"/>
          <w:color w:val="000000"/>
          <w:sz w:val="20"/>
          <w:szCs w:val="20"/>
        </w:rPr>
        <w:t xml:space="preserve">oven </w:t>
      </w:r>
      <w:r w:rsidR="006529B6" w:rsidRPr="00B14C1C">
        <w:rPr>
          <w:rFonts w:ascii="Tahoma" w:hAnsi="Tahoma" w:cs="Tahoma"/>
          <w:color w:val="000000"/>
          <w:sz w:val="20"/>
          <w:szCs w:val="20"/>
        </w:rPr>
        <w:t xml:space="preserve">giver bl.a. </w:t>
      </w:r>
      <w:r w:rsidRPr="00B14C1C">
        <w:rPr>
          <w:rFonts w:ascii="Tahoma" w:hAnsi="Tahoma" w:cs="Tahoma"/>
          <w:color w:val="000000"/>
          <w:sz w:val="20"/>
          <w:szCs w:val="20"/>
        </w:rPr>
        <w:t>Naalakkersuisut mulighed for egenrådigt at afslå projekter uden forudgående behandling i Inatsisartut</w:t>
      </w:r>
      <w:r w:rsidR="00533877" w:rsidRPr="00B14C1C">
        <w:rPr>
          <w:rFonts w:ascii="Tahoma" w:hAnsi="Tahoma" w:cs="Tahoma"/>
          <w:color w:val="000000"/>
          <w:sz w:val="20"/>
          <w:szCs w:val="20"/>
        </w:rPr>
        <w:t xml:space="preserve"> og uden nærmere begrundelse</w:t>
      </w:r>
      <w:r w:rsidRPr="00B14C1C">
        <w:rPr>
          <w:rFonts w:ascii="Tahoma" w:hAnsi="Tahoma" w:cs="Tahoma"/>
          <w:color w:val="000000"/>
          <w:sz w:val="20"/>
          <w:szCs w:val="20"/>
        </w:rPr>
        <w:t xml:space="preserve">. </w:t>
      </w:r>
      <w:r w:rsidR="007401C9" w:rsidRPr="00B14C1C">
        <w:rPr>
          <w:rFonts w:ascii="Tahoma" w:hAnsi="Tahoma" w:cs="Tahoma"/>
          <w:color w:val="000000"/>
          <w:sz w:val="20"/>
          <w:szCs w:val="20"/>
        </w:rPr>
        <w:t>Loven vil desuden indføre øget administration ved at kunne pålægge mineralselskaberne en separat skattemæssig rapportering, udover den, der allerede aflægges til skattestyrelsen</w:t>
      </w:r>
      <w:r w:rsidR="006529B6" w:rsidRPr="00B14C1C">
        <w:rPr>
          <w:rFonts w:ascii="Tahoma" w:hAnsi="Tahoma" w:cs="Tahoma"/>
          <w:color w:val="000000"/>
          <w:sz w:val="20"/>
          <w:szCs w:val="20"/>
        </w:rPr>
        <w:t>, ligesom licensholderne kan blive pålagt ikke at anvende leverandører, der har gæld til det offentlige (fx skat)</w:t>
      </w:r>
      <w:r w:rsidR="007401C9" w:rsidRPr="00B14C1C">
        <w:rPr>
          <w:rFonts w:ascii="Tahoma" w:hAnsi="Tahoma" w:cs="Tahoma"/>
          <w:color w:val="000000"/>
          <w:sz w:val="20"/>
          <w:szCs w:val="20"/>
        </w:rPr>
        <w:t xml:space="preserve">. </w:t>
      </w:r>
    </w:p>
    <w:p w14:paraId="41287404" w14:textId="197D1E76" w:rsidR="006B003B" w:rsidRPr="00B14C1C" w:rsidRDefault="007401C9" w:rsidP="00052A2E">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 xml:space="preserve">Grønland </w:t>
      </w:r>
      <w:r w:rsidR="00AF23E1">
        <w:rPr>
          <w:rFonts w:ascii="Tahoma" w:hAnsi="Tahoma" w:cs="Tahoma"/>
          <w:color w:val="000000"/>
          <w:sz w:val="20"/>
          <w:szCs w:val="20"/>
        </w:rPr>
        <w:t xml:space="preserve">mangler </w:t>
      </w:r>
      <w:r w:rsidRPr="00B14C1C">
        <w:rPr>
          <w:rFonts w:ascii="Tahoma" w:hAnsi="Tahoma" w:cs="Tahoma"/>
          <w:color w:val="000000"/>
          <w:sz w:val="20"/>
          <w:szCs w:val="20"/>
        </w:rPr>
        <w:t>dobbeltbeskatningsaftaler</w:t>
      </w:r>
      <w:r w:rsidR="00AF23E1">
        <w:rPr>
          <w:rFonts w:ascii="Tahoma" w:hAnsi="Tahoma" w:cs="Tahoma"/>
          <w:color w:val="000000"/>
          <w:sz w:val="20"/>
          <w:szCs w:val="20"/>
        </w:rPr>
        <w:t>, der kan understøtte bl.a. råstofsektoren</w:t>
      </w:r>
      <w:r w:rsidR="00713B8F" w:rsidRPr="00B14C1C">
        <w:rPr>
          <w:rFonts w:ascii="Tahoma" w:hAnsi="Tahoma" w:cs="Tahoma"/>
          <w:color w:val="000000"/>
          <w:sz w:val="20"/>
          <w:szCs w:val="20"/>
        </w:rPr>
        <w:t>.</w:t>
      </w:r>
      <w:r w:rsidRPr="00B14C1C">
        <w:rPr>
          <w:rFonts w:ascii="Tahoma" w:hAnsi="Tahoma" w:cs="Tahoma"/>
          <w:color w:val="000000"/>
          <w:sz w:val="20"/>
          <w:szCs w:val="20"/>
        </w:rPr>
        <w:t xml:space="preserve"> </w:t>
      </w:r>
      <w:r w:rsidR="00713B8F" w:rsidRPr="00B14C1C">
        <w:rPr>
          <w:rFonts w:ascii="Tahoma" w:hAnsi="Tahoma" w:cs="Tahoma"/>
          <w:color w:val="000000"/>
          <w:sz w:val="20"/>
          <w:szCs w:val="20"/>
        </w:rPr>
        <w:t>U</w:t>
      </w:r>
      <w:r w:rsidRPr="00B14C1C">
        <w:rPr>
          <w:rFonts w:ascii="Tahoma" w:hAnsi="Tahoma" w:cs="Tahoma"/>
          <w:color w:val="000000"/>
          <w:sz w:val="20"/>
          <w:szCs w:val="20"/>
        </w:rPr>
        <w:t>dkastet til råstoflovens krav om bearbejdning af mineraler i Grønland understøtter ikke en bæredygtig udvikling af råstofsektoren</w:t>
      </w:r>
      <w:r w:rsidR="00713B8F" w:rsidRPr="00B14C1C">
        <w:rPr>
          <w:rFonts w:ascii="Tahoma" w:hAnsi="Tahoma" w:cs="Tahoma"/>
          <w:color w:val="000000"/>
          <w:sz w:val="20"/>
          <w:szCs w:val="20"/>
        </w:rPr>
        <w:t>,</w:t>
      </w:r>
      <w:r w:rsidR="00571AC0" w:rsidRPr="00B14C1C">
        <w:rPr>
          <w:rFonts w:ascii="Tahoma" w:hAnsi="Tahoma" w:cs="Tahoma"/>
          <w:color w:val="000000"/>
          <w:sz w:val="20"/>
          <w:szCs w:val="20"/>
        </w:rPr>
        <w:t xml:space="preserve"> bl.a.</w:t>
      </w:r>
      <w:r w:rsidR="00713B8F" w:rsidRPr="00B14C1C">
        <w:rPr>
          <w:rFonts w:ascii="Tahoma" w:hAnsi="Tahoma" w:cs="Tahoma"/>
          <w:color w:val="000000"/>
          <w:sz w:val="20"/>
          <w:szCs w:val="20"/>
        </w:rPr>
        <w:t xml:space="preserve"> for</w:t>
      </w:r>
      <w:r w:rsidR="00571AC0" w:rsidRPr="00B14C1C">
        <w:rPr>
          <w:rFonts w:ascii="Tahoma" w:hAnsi="Tahoma" w:cs="Tahoma"/>
          <w:color w:val="000000"/>
          <w:sz w:val="20"/>
          <w:szCs w:val="20"/>
        </w:rPr>
        <w:t>di</w:t>
      </w:r>
      <w:r w:rsidRPr="00B14C1C">
        <w:rPr>
          <w:rFonts w:ascii="Tahoma" w:hAnsi="Tahoma" w:cs="Tahoma"/>
          <w:color w:val="000000"/>
          <w:sz w:val="20"/>
          <w:szCs w:val="20"/>
        </w:rPr>
        <w:t xml:space="preserve"> </w:t>
      </w:r>
      <w:r w:rsidR="00713B8F" w:rsidRPr="00B14C1C">
        <w:rPr>
          <w:rFonts w:ascii="Tahoma" w:hAnsi="Tahoma" w:cs="Tahoma"/>
          <w:color w:val="000000"/>
          <w:sz w:val="20"/>
          <w:szCs w:val="20"/>
        </w:rPr>
        <w:t>d</w:t>
      </w:r>
      <w:r w:rsidRPr="00B14C1C">
        <w:rPr>
          <w:rFonts w:ascii="Tahoma" w:hAnsi="Tahoma" w:cs="Tahoma"/>
          <w:color w:val="000000"/>
          <w:sz w:val="20"/>
          <w:szCs w:val="20"/>
        </w:rPr>
        <w:t xml:space="preserve">e manglende dobbeltbeskatningsaftaler medfører, at lønomkostningerne i Grønland vil være forholdsmæssigt højere </w:t>
      </w:r>
      <w:r w:rsidR="00713B8F" w:rsidRPr="00B14C1C">
        <w:rPr>
          <w:rFonts w:ascii="Tahoma" w:hAnsi="Tahoma" w:cs="Tahoma"/>
          <w:color w:val="000000"/>
          <w:sz w:val="20"/>
          <w:szCs w:val="20"/>
        </w:rPr>
        <w:t xml:space="preserve">(op til 35 %) end andre steder i verden </w:t>
      </w:r>
      <w:r w:rsidRPr="00B14C1C">
        <w:rPr>
          <w:rFonts w:ascii="Tahoma" w:hAnsi="Tahoma" w:cs="Tahoma"/>
          <w:color w:val="000000"/>
          <w:sz w:val="20"/>
          <w:szCs w:val="20"/>
        </w:rPr>
        <w:t>og dermed bliver Grønland ikke konkurrencedygtig. Bl.a. forventes det at medarbejderne vil forvente en lønmæssig kompensation</w:t>
      </w:r>
      <w:r w:rsidR="00F11F27" w:rsidRPr="00B14C1C">
        <w:rPr>
          <w:rFonts w:ascii="Tahoma" w:hAnsi="Tahoma" w:cs="Tahoma"/>
          <w:color w:val="000000"/>
          <w:sz w:val="20"/>
          <w:szCs w:val="20"/>
        </w:rPr>
        <w:t xml:space="preserve"> </w:t>
      </w:r>
      <w:r w:rsidRPr="00B14C1C">
        <w:rPr>
          <w:rFonts w:ascii="Tahoma" w:hAnsi="Tahoma" w:cs="Tahoma"/>
          <w:color w:val="000000"/>
          <w:sz w:val="20"/>
          <w:szCs w:val="20"/>
        </w:rPr>
        <w:t>for de øgede skatteomkostninger.</w:t>
      </w:r>
    </w:p>
    <w:p w14:paraId="3BBCA9B0" w14:textId="16A4D900" w:rsidR="009C4795" w:rsidRPr="00B14C1C" w:rsidRDefault="0018081F" w:rsidP="00052A2E">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Foreningen ser med bekymring på at råstofdepartementet gives mandat til at udstede administrative bøder. Departementet kan allerede inddrage licenser, og der er etableret klageadgange, og adgangen til bøder kan derfor synes at være vidtgående. Formålet med bøderne er ikke at straffe, men at gennemtvinge en given handling, hvilket desværre ikke fremgår tydeligt af lovforslaget.</w:t>
      </w:r>
    </w:p>
    <w:p w14:paraId="4D25A2ED" w14:textId="5466BD4C" w:rsidR="00254B20" w:rsidRPr="00B14C1C" w:rsidRDefault="00254B20" w:rsidP="00052A2E">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Under nuværende lovgivning gælder en efterforskningslicens alene i 5 år, men der gives i lovforslaget mulighed for at denne kan forlænges over flere omgange, dog max til 15 år. Dette kan fjerne motivationen til at afslutte en efterforskning, men giver samtidig mere fleksibilitet.</w:t>
      </w:r>
      <w:r w:rsidR="006E1AA3" w:rsidRPr="00B14C1C">
        <w:rPr>
          <w:rFonts w:ascii="Tahoma" w:hAnsi="Tahoma" w:cs="Tahoma"/>
          <w:color w:val="000000"/>
          <w:sz w:val="20"/>
          <w:szCs w:val="20"/>
        </w:rPr>
        <w:t xml:space="preserve"> Det noteres at udnyttelseslicenser fortsat maksimalt kan gives for 50 år, men med det udgangspunkt at der først gives tilladelse i 30 år, hvorefter Naalakkersuisut kan forlænge. Vilkårene i licensen kan tilpasses for den del af udnyttelsen, der ligger udover 40 år.</w:t>
      </w:r>
      <w:r w:rsidR="005F0BBC" w:rsidRPr="00B14C1C">
        <w:rPr>
          <w:rFonts w:ascii="Tahoma" w:hAnsi="Tahoma" w:cs="Tahoma"/>
          <w:color w:val="000000"/>
          <w:sz w:val="20"/>
          <w:szCs w:val="20"/>
        </w:rPr>
        <w:t xml:space="preserve"> Lovforslaget gør det desuden tydeligt, at myndighederne kan sætte tidsgrænser i licensen og at manglende overholdelse heraf giver mulighed for at tilbagekalde licensen.</w:t>
      </w:r>
    </w:p>
    <w:p w14:paraId="5E36F8AD" w14:textId="0AB03193" w:rsidR="007401C9" w:rsidRPr="00B14C1C" w:rsidRDefault="007401C9" w:rsidP="00052A2E">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 xml:space="preserve">Grønlands Erhverv har været nødsaget til at indtage en stejl holdning i forhold til de vilkår, som skal gøre Grønland til et godt sted at investere. I den indenlandske dialog lægges der vægt på behovet for forbedringerne og for klare rammer og vilkår, mens der udadtil </w:t>
      </w:r>
      <w:r w:rsidR="00045BFA" w:rsidRPr="00B14C1C">
        <w:rPr>
          <w:rFonts w:ascii="Tahoma" w:hAnsi="Tahoma" w:cs="Tahoma"/>
          <w:color w:val="000000"/>
          <w:sz w:val="20"/>
          <w:szCs w:val="20"/>
        </w:rPr>
        <w:t>sætt</w:t>
      </w:r>
      <w:r w:rsidRPr="00B14C1C">
        <w:rPr>
          <w:rFonts w:ascii="Tahoma" w:hAnsi="Tahoma" w:cs="Tahoma"/>
          <w:color w:val="000000"/>
          <w:sz w:val="20"/>
          <w:szCs w:val="20"/>
        </w:rPr>
        <w:t>es fokus på netop fordelene og mulighederne ved at investere</w:t>
      </w:r>
      <w:r w:rsidR="00A80304" w:rsidRPr="00B14C1C">
        <w:rPr>
          <w:rFonts w:ascii="Tahoma" w:hAnsi="Tahoma" w:cs="Tahoma"/>
          <w:color w:val="000000"/>
          <w:sz w:val="20"/>
          <w:szCs w:val="20"/>
        </w:rPr>
        <w:t xml:space="preserve"> i Grønland, der er en stabil jurisdiktion baseret på velkendte skandinaviske principper</w:t>
      </w:r>
      <w:r w:rsidR="00713B8F" w:rsidRPr="00B14C1C">
        <w:rPr>
          <w:rFonts w:ascii="Tahoma" w:hAnsi="Tahoma" w:cs="Tahoma"/>
          <w:color w:val="000000"/>
          <w:sz w:val="20"/>
          <w:szCs w:val="20"/>
        </w:rPr>
        <w:t xml:space="preserve">. Foreningen skal derfor balancere mellem at markedsføre Grønland overfor omverdenen og tiltrække investorer, samtidig med at der på de indre linjer skal arbejdes for at forbedre vilkårene. </w:t>
      </w:r>
    </w:p>
    <w:p w14:paraId="03F77FFB" w14:textId="2270FEEC" w:rsidR="00180A5F" w:rsidRDefault="00180A5F" w:rsidP="00180A5F">
      <w:pPr>
        <w:pStyle w:val="Heading3"/>
      </w:pPr>
      <w:r>
        <w:t>Overenskomstforhandlinger med Finansforbundet og SIK</w:t>
      </w:r>
    </w:p>
    <w:p w14:paraId="63F06A8B" w14:textId="3412EBA5" w:rsidR="00180A5F" w:rsidRPr="00B14C1C" w:rsidRDefault="005053E0" w:rsidP="00BA3CD8">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I 2022 gennemførte foreningen på vegne af finanssektoren en overenskomstforhandling med Finansforbundet. Der blev indgået en 2-årig overenskomst, der løber fra 1. april 2022 til 31. marts 2024.</w:t>
      </w:r>
    </w:p>
    <w:p w14:paraId="54E6F181" w14:textId="0B49AA53" w:rsidR="005053E0" w:rsidRPr="00B14C1C" w:rsidRDefault="00DB6D51" w:rsidP="00BA3CD8">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 xml:space="preserve">Der har i 2023 været forhandlinger om overenskomster med SIK efter udløbet af den forrige 4-årige overenskomstperiode. Forhandlingsmiljøet er svært udfordret af den uro, der er i verden, uagtet at denne ikke har en direkte effekt i samme omfang på det grønlandske samfund, og nogle fordelagtige offentlige overenskomster med SIK. GE har som arbejdsgiver et medansvar for, at der forhandles forsvarlige overenskomster, der ikke presser inflationen op og dermed udhuler de resultater, som opnås ved </w:t>
      </w:r>
      <w:r w:rsidRPr="00B14C1C">
        <w:rPr>
          <w:rFonts w:ascii="Tahoma" w:hAnsi="Tahoma" w:cs="Tahoma"/>
          <w:color w:val="000000"/>
          <w:sz w:val="20"/>
          <w:szCs w:val="20"/>
        </w:rPr>
        <w:lastRenderedPageBreak/>
        <w:t xml:space="preserve">forhandlingerne. Dette princip er vigtigt, men har været udfordret i de grønlandske overenskomstforhandlinger i 2022-23. </w:t>
      </w:r>
      <w:r w:rsidR="005B6CFD">
        <w:rPr>
          <w:rFonts w:ascii="Tahoma" w:hAnsi="Tahoma" w:cs="Tahoma"/>
          <w:color w:val="000000"/>
          <w:sz w:val="20"/>
          <w:szCs w:val="20"/>
        </w:rPr>
        <w:t>Der blev indenfor deadline og uden konflikt indgået en ny 3-årig overenskomst mellem SIK og GE i marts 2023 gældende 1. april 2023 til 31. marts 2026. Overenskomsterne gælder for henholdsvis Bygningshåndværkere og Produktion, Handel og Kontor samt Service og Transport.</w:t>
      </w:r>
    </w:p>
    <w:p w14:paraId="0B0C3EA6" w14:textId="1AAD3810" w:rsidR="00180A5F" w:rsidRDefault="00F33663" w:rsidP="00F33663">
      <w:pPr>
        <w:pStyle w:val="Heading3"/>
      </w:pPr>
      <w:r>
        <w:t>Diversitet i de grønlandske organisationer</w:t>
      </w:r>
    </w:p>
    <w:p w14:paraId="024C87B2" w14:textId="672EA30B" w:rsidR="00F33663" w:rsidRPr="00B14C1C" w:rsidRDefault="00F33663" w:rsidP="00BA3CD8">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 xml:space="preserve">Direktionen og flere udpegede direktører fra foreningens medlemsvirksomheder har i 2022 deltaget i Ligestillingsrådets analyse om diversitet og ligestilling i de grønlandske organisationer med særligt fokus på at kvinder i ledelse. Analysens forelæggelse blev suppleret af en paneldebat, som direktionen deltog i. </w:t>
      </w:r>
    </w:p>
    <w:p w14:paraId="7CD44421" w14:textId="38697B4A" w:rsidR="00F33663" w:rsidRPr="00B14C1C" w:rsidRDefault="00F33663" w:rsidP="00BA3CD8">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Det øgede fokus på emnet ligestilling gav anledning til at foreningen i sin årlige arbejdsmarkedsanalyse spurgte medlemmerne omkring ligestilling samt i januar 2023 udarbejdede en mere målrettet analyse om emnet baseret på en mere dybdegående rundspørge blandt grønlandske organisationer.</w:t>
      </w:r>
    </w:p>
    <w:p w14:paraId="41AB97DB" w14:textId="0915D227" w:rsidR="002F71B3" w:rsidRPr="00B14C1C" w:rsidRDefault="002F71B3" w:rsidP="00BA3CD8">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Emnet diversitet er relevant, ikke mindst ud fra devisen om at Grønland mangler arbejdskraft og kvalificeret arbejdskraft i særdeleshed. Det er derfor vigtigt at sikre, at arbejdsstyrken anvendes mest optimalt og at der ikke er grupper heri, der overses.</w:t>
      </w:r>
      <w:r w:rsidR="001B2D1A" w:rsidRPr="00B14C1C">
        <w:rPr>
          <w:rFonts w:ascii="Tahoma" w:hAnsi="Tahoma" w:cs="Tahoma"/>
          <w:color w:val="000000"/>
          <w:sz w:val="20"/>
          <w:szCs w:val="20"/>
        </w:rPr>
        <w:t xml:space="preserve"> </w:t>
      </w:r>
    </w:p>
    <w:p w14:paraId="252BCB61" w14:textId="698A70DD" w:rsidR="001B2D1A" w:rsidRPr="00B14C1C" w:rsidRDefault="001B2D1A" w:rsidP="00BA3CD8">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 xml:space="preserve">Der opleves fortsat en overordnet opdeling i, hvad der historisk er kaldt ”mandefag” og ”kvindefag”, dvs. brancher, der primært tiltrækker enten det ene eller det andet køn. </w:t>
      </w:r>
      <w:r w:rsidR="00120041" w:rsidRPr="00B14C1C">
        <w:rPr>
          <w:rFonts w:ascii="Tahoma" w:hAnsi="Tahoma" w:cs="Tahoma"/>
          <w:color w:val="000000"/>
          <w:sz w:val="20"/>
          <w:szCs w:val="20"/>
        </w:rPr>
        <w:t xml:space="preserve">Mange af deltagerne i undersøgelserne har </w:t>
      </w:r>
      <w:r w:rsidR="00BD4E4A" w:rsidRPr="00B14C1C">
        <w:rPr>
          <w:rFonts w:ascii="Tahoma" w:hAnsi="Tahoma" w:cs="Tahoma"/>
          <w:color w:val="000000"/>
          <w:sz w:val="20"/>
          <w:szCs w:val="20"/>
        </w:rPr>
        <w:t>gode</w:t>
      </w:r>
      <w:r w:rsidR="00120041" w:rsidRPr="00B14C1C">
        <w:rPr>
          <w:rFonts w:ascii="Tahoma" w:hAnsi="Tahoma" w:cs="Tahoma"/>
          <w:color w:val="000000"/>
          <w:sz w:val="20"/>
          <w:szCs w:val="20"/>
        </w:rPr>
        <w:t xml:space="preserve"> intentioner i strategi og politik omkring at øge diversiteten, men halt efter i praksis. Hverdagen er desuden påvirket af en generel mangel på arbejdskraft, der gør at </w:t>
      </w:r>
      <w:r w:rsidR="00E93CFC" w:rsidRPr="00B14C1C">
        <w:rPr>
          <w:rFonts w:ascii="Tahoma" w:hAnsi="Tahoma" w:cs="Tahoma"/>
          <w:color w:val="000000"/>
          <w:sz w:val="20"/>
          <w:szCs w:val="20"/>
        </w:rPr>
        <w:t>specifikationer</w:t>
      </w:r>
      <w:r w:rsidR="00120041" w:rsidRPr="00B14C1C">
        <w:rPr>
          <w:rFonts w:ascii="Tahoma" w:hAnsi="Tahoma" w:cs="Tahoma"/>
          <w:color w:val="000000"/>
          <w:sz w:val="20"/>
          <w:szCs w:val="20"/>
        </w:rPr>
        <w:t xml:space="preserve"> som </w:t>
      </w:r>
      <w:r w:rsidR="00E93CFC" w:rsidRPr="00B14C1C">
        <w:rPr>
          <w:rFonts w:ascii="Tahoma" w:hAnsi="Tahoma" w:cs="Tahoma"/>
          <w:color w:val="000000"/>
          <w:sz w:val="20"/>
          <w:szCs w:val="20"/>
        </w:rPr>
        <w:t xml:space="preserve">fx </w:t>
      </w:r>
      <w:r w:rsidR="00120041" w:rsidRPr="00B14C1C">
        <w:rPr>
          <w:rFonts w:ascii="Tahoma" w:hAnsi="Tahoma" w:cs="Tahoma"/>
          <w:color w:val="000000"/>
          <w:sz w:val="20"/>
          <w:szCs w:val="20"/>
        </w:rPr>
        <w:t xml:space="preserve">køn ikke kan vægtes over at sikre at man blot har en kandidat til en stilling eller ledelsesposition. </w:t>
      </w:r>
    </w:p>
    <w:p w14:paraId="2C29D27C" w14:textId="28FDB171" w:rsidR="00D062FF" w:rsidRPr="00B14C1C" w:rsidRDefault="00D062FF" w:rsidP="00BA3CD8">
      <w:pPr>
        <w:shd w:val="clear" w:color="auto" w:fill="FFFFFF"/>
        <w:spacing w:after="240"/>
        <w:textAlignment w:val="baseline"/>
        <w:rPr>
          <w:rFonts w:ascii="Tahoma" w:hAnsi="Tahoma" w:cs="Tahoma"/>
          <w:color w:val="000000"/>
          <w:sz w:val="20"/>
          <w:szCs w:val="20"/>
        </w:rPr>
      </w:pPr>
      <w:r w:rsidRPr="00B14C1C">
        <w:rPr>
          <w:rFonts w:ascii="Tahoma" w:hAnsi="Tahoma" w:cs="Tahoma"/>
          <w:color w:val="000000"/>
          <w:sz w:val="20"/>
          <w:szCs w:val="20"/>
        </w:rPr>
        <w:t>Fremtidens ledelse vil være baseret på både feminine og maskuline egenskaber. Undersøgelserne giver ikke meget bidrag til hvorfor, særligt kvinder, ikke er bedre repræsenteret i ledelse, mens der fortsat er en række antagelser herom. Foreningen opfordrer sine medlemmer til at orientere sig i de tre analyser/undersøgelser og til at arbejde med nogle af de anbefalinger og observationspunkter som gøres.</w:t>
      </w:r>
    </w:p>
    <w:p w14:paraId="3B5FE207" w14:textId="31AC2BC2" w:rsidR="00DA0EA5" w:rsidRPr="007E42C5" w:rsidRDefault="007E42C5" w:rsidP="00E3522B">
      <w:pPr>
        <w:pStyle w:val="Heading3"/>
        <w:rPr>
          <w:rFonts w:ascii="Arial" w:hAnsi="Arial" w:cs="Arial"/>
        </w:rPr>
      </w:pPr>
      <w:r w:rsidRPr="007E42C5">
        <w:t xml:space="preserve">Den fortsatte mangel på arbejdskraft risikerer at begrænse væksten og initiativerne </w:t>
      </w:r>
    </w:p>
    <w:p w14:paraId="280CFB43" w14:textId="2326BE90" w:rsidR="008E2413" w:rsidRDefault="008E2413" w:rsidP="00486A37">
      <w:pPr>
        <w:shd w:val="clear" w:color="auto" w:fill="FFFFFF"/>
        <w:spacing w:after="240"/>
        <w:textAlignment w:val="baseline"/>
        <w:rPr>
          <w:rFonts w:ascii="Tahoma" w:hAnsi="Tahoma" w:cs="Tahoma"/>
          <w:color w:val="000000"/>
          <w:sz w:val="20"/>
          <w:szCs w:val="20"/>
        </w:rPr>
      </w:pPr>
      <w:r w:rsidRPr="008E2413">
        <w:rPr>
          <w:rFonts w:ascii="Tahoma" w:hAnsi="Tahoma" w:cs="Tahoma"/>
          <w:color w:val="000000"/>
          <w:sz w:val="20"/>
          <w:szCs w:val="20"/>
        </w:rPr>
        <w:t xml:space="preserve">Grønland oplever </w:t>
      </w:r>
      <w:r>
        <w:rPr>
          <w:rFonts w:ascii="Tahoma" w:hAnsi="Tahoma" w:cs="Tahoma"/>
          <w:color w:val="000000"/>
          <w:sz w:val="20"/>
          <w:szCs w:val="20"/>
        </w:rPr>
        <w:t>historisk lav ledighed, og denne har generelt været faldende efter pandemiens ophør. Grønland oplever fortsat en reel arbejdsløshed på 0 % med enkelte undtagelser. Der består to paradoksproblemer:</w:t>
      </w:r>
    </w:p>
    <w:p w14:paraId="2069592E" w14:textId="1519F758" w:rsidR="008E2413" w:rsidRDefault="008E2413" w:rsidP="008E2413">
      <w:pPr>
        <w:pStyle w:val="ListParagraph"/>
        <w:numPr>
          <w:ilvl w:val="0"/>
          <w:numId w:val="4"/>
        </w:numPr>
        <w:shd w:val="clear" w:color="auto" w:fill="FFFFFF"/>
        <w:spacing w:after="240"/>
        <w:textAlignment w:val="baseline"/>
        <w:rPr>
          <w:rFonts w:ascii="Tahoma" w:hAnsi="Tahoma" w:cs="Tahoma"/>
          <w:color w:val="000000"/>
          <w:sz w:val="20"/>
          <w:szCs w:val="20"/>
        </w:rPr>
      </w:pPr>
      <w:r>
        <w:rPr>
          <w:rFonts w:ascii="Tahoma" w:hAnsi="Tahoma" w:cs="Tahoma"/>
          <w:color w:val="000000"/>
          <w:sz w:val="20"/>
          <w:szCs w:val="20"/>
        </w:rPr>
        <w:t>Arbejdsløshed i to byer, mens der er i de fleste andre bosteder er stor mangel på arbejdskraft. Der er derfor et paradoks i den manglende sammenhæng mellem bosætning og erhvervsstruktur.</w:t>
      </w:r>
    </w:p>
    <w:p w14:paraId="2032983A" w14:textId="284919D9" w:rsidR="008E2413" w:rsidRDefault="008E2413" w:rsidP="008E2413">
      <w:pPr>
        <w:pStyle w:val="ListParagraph"/>
        <w:numPr>
          <w:ilvl w:val="0"/>
          <w:numId w:val="4"/>
        </w:numPr>
        <w:shd w:val="clear" w:color="auto" w:fill="FFFFFF"/>
        <w:spacing w:after="240"/>
        <w:textAlignment w:val="baseline"/>
        <w:rPr>
          <w:rFonts w:ascii="Tahoma" w:hAnsi="Tahoma" w:cs="Tahoma"/>
          <w:color w:val="000000"/>
          <w:sz w:val="20"/>
          <w:szCs w:val="20"/>
        </w:rPr>
      </w:pPr>
      <w:r>
        <w:rPr>
          <w:rFonts w:ascii="Tahoma" w:hAnsi="Tahoma" w:cs="Tahoma"/>
          <w:color w:val="000000"/>
          <w:sz w:val="20"/>
          <w:szCs w:val="20"/>
        </w:rPr>
        <w:t>Opretholdelse af indhandlingsfabrikker for at sikre arbejdspladser lokalt</w:t>
      </w:r>
      <w:r w:rsidR="00FF055E">
        <w:rPr>
          <w:rFonts w:ascii="Tahoma" w:hAnsi="Tahoma" w:cs="Tahoma"/>
          <w:color w:val="000000"/>
          <w:sz w:val="20"/>
          <w:szCs w:val="20"/>
        </w:rPr>
        <w:t xml:space="preserve"> selvom opgaverne kan løses på trawlere til søs</w:t>
      </w:r>
      <w:r>
        <w:rPr>
          <w:rFonts w:ascii="Tahoma" w:hAnsi="Tahoma" w:cs="Tahoma"/>
          <w:color w:val="000000"/>
          <w:sz w:val="20"/>
          <w:szCs w:val="20"/>
        </w:rPr>
        <w:t>, men uden at der er adgang til en arbejdsstyrke, hvorved det er nødvendigt at importere (primært asiatisk) arbejdskraft fra udlandet til at bemande stillingerne. Paradokset ligger i at der skabes lokal beskæftigelse på steder, hvor der ikke er adgang til en arbejdsstyrke på bekostning af et effektivt fiskeri.</w:t>
      </w:r>
    </w:p>
    <w:p w14:paraId="17717480" w14:textId="784C564D" w:rsidR="00FF055E" w:rsidRDefault="00FF055E" w:rsidP="00FF055E">
      <w:pPr>
        <w:shd w:val="clear" w:color="auto" w:fill="FFFFFF"/>
        <w:spacing w:after="240"/>
        <w:textAlignment w:val="baseline"/>
        <w:rPr>
          <w:rFonts w:ascii="Tahoma" w:hAnsi="Tahoma" w:cs="Tahoma"/>
          <w:color w:val="000000"/>
          <w:sz w:val="20"/>
          <w:szCs w:val="20"/>
        </w:rPr>
      </w:pPr>
      <w:r>
        <w:rPr>
          <w:rFonts w:ascii="Tahoma" w:hAnsi="Tahoma" w:cs="Tahoma"/>
          <w:color w:val="000000"/>
          <w:sz w:val="20"/>
          <w:szCs w:val="20"/>
        </w:rPr>
        <w:t xml:space="preserve">Foreningen gennemfører hvert år en analyse af manglen på arbejdskraft og i 2022-undersøgelsen blev det konstateret, at der som minimum mangler 1.000 medarbejdere i de grønlandske virksomheder. </w:t>
      </w:r>
      <w:r w:rsidR="00E748B7">
        <w:rPr>
          <w:rFonts w:ascii="Tahoma" w:hAnsi="Tahoma" w:cs="Tahoma"/>
          <w:color w:val="000000"/>
          <w:sz w:val="20"/>
          <w:szCs w:val="20"/>
        </w:rPr>
        <w:t xml:space="preserve">Til trods for situationen i verden med store udsving i energipriser, svær adgang til byggematerialer, stigende priser på </w:t>
      </w:r>
      <w:r w:rsidR="00E748B7">
        <w:rPr>
          <w:rFonts w:ascii="Tahoma" w:hAnsi="Tahoma" w:cs="Tahoma"/>
          <w:color w:val="000000"/>
          <w:sz w:val="20"/>
          <w:szCs w:val="20"/>
        </w:rPr>
        <w:lastRenderedPageBreak/>
        <w:t xml:space="preserve">fødevarer og byggematerialer og generel usikkerhed om krig og konflikt, er der forventninger om behov for mere arbejdskraft i Grønland de kommende år. </w:t>
      </w:r>
    </w:p>
    <w:p w14:paraId="2397C208" w14:textId="06BF9A5F" w:rsidR="00052A2E" w:rsidRDefault="00052A2E" w:rsidP="00FF055E">
      <w:pPr>
        <w:shd w:val="clear" w:color="auto" w:fill="FFFFFF"/>
        <w:spacing w:after="240"/>
        <w:textAlignment w:val="baseline"/>
        <w:rPr>
          <w:rFonts w:ascii="Tahoma" w:hAnsi="Tahoma" w:cs="Tahoma"/>
          <w:color w:val="000000"/>
          <w:sz w:val="20"/>
          <w:szCs w:val="20"/>
        </w:rPr>
      </w:pPr>
      <w:r>
        <w:rPr>
          <w:rFonts w:ascii="Tahoma" w:hAnsi="Tahoma" w:cs="Tahoma"/>
          <w:color w:val="000000"/>
          <w:sz w:val="20"/>
          <w:szCs w:val="20"/>
        </w:rPr>
        <w:t>Der er etableret en fast track ordning, der gør processerne for tilkaldelse af medarbejdere kortere. Generelt melder foreningens medlemmer positivt tilbage omkring ordningen.</w:t>
      </w:r>
    </w:p>
    <w:p w14:paraId="7F91D924" w14:textId="4941B8B9" w:rsidR="00052A2E" w:rsidRPr="002C716D" w:rsidRDefault="00052A2E" w:rsidP="00FF055E">
      <w:pPr>
        <w:shd w:val="clear" w:color="auto" w:fill="FFFFFF"/>
        <w:spacing w:after="240"/>
        <w:textAlignment w:val="baseline"/>
        <w:rPr>
          <w:rFonts w:ascii="Tahoma" w:hAnsi="Tahoma" w:cs="Tahoma"/>
          <w:color w:val="000000"/>
          <w:sz w:val="20"/>
          <w:szCs w:val="20"/>
        </w:rPr>
      </w:pPr>
      <w:r>
        <w:rPr>
          <w:rFonts w:ascii="Tahoma" w:hAnsi="Tahoma" w:cs="Tahoma"/>
          <w:color w:val="000000"/>
          <w:sz w:val="20"/>
          <w:szCs w:val="20"/>
        </w:rPr>
        <w:t>En udvikling vil være begrænset af adgangen til ressourcer, herund</w:t>
      </w:r>
      <w:r w:rsidRPr="002C716D">
        <w:rPr>
          <w:rFonts w:ascii="Tahoma" w:hAnsi="Tahoma" w:cs="Tahoma"/>
          <w:color w:val="000000"/>
          <w:sz w:val="20"/>
          <w:szCs w:val="20"/>
        </w:rPr>
        <w:t xml:space="preserve">er menneskelige ressourcer. </w:t>
      </w:r>
    </w:p>
    <w:p w14:paraId="6EE83CE6" w14:textId="1F306C4F" w:rsidR="002C716D" w:rsidRPr="002C716D" w:rsidRDefault="002C716D" w:rsidP="002C716D">
      <w:pPr>
        <w:pStyle w:val="Heading3"/>
      </w:pPr>
      <w:r w:rsidRPr="002C716D">
        <w:t>Sikkerhed og sikkerhedskultur på arbejdspladserne</w:t>
      </w:r>
    </w:p>
    <w:p w14:paraId="3C51D670" w14:textId="2F898D84" w:rsidR="002C716D" w:rsidRPr="002C716D" w:rsidRDefault="002C716D" w:rsidP="002C716D">
      <w:pPr>
        <w:shd w:val="clear" w:color="auto" w:fill="FFFFFF"/>
        <w:spacing w:after="240"/>
        <w:textAlignment w:val="baseline"/>
        <w:rPr>
          <w:rFonts w:ascii="Tahoma" w:hAnsi="Tahoma" w:cs="Tahoma"/>
          <w:color w:val="000000"/>
          <w:sz w:val="20"/>
          <w:szCs w:val="20"/>
        </w:rPr>
      </w:pPr>
      <w:r w:rsidRPr="002C716D">
        <w:rPr>
          <w:rFonts w:ascii="Tahoma" w:hAnsi="Tahoma" w:cs="Tahoma"/>
          <w:color w:val="000000"/>
          <w:sz w:val="20"/>
          <w:szCs w:val="20"/>
        </w:rPr>
        <w:t xml:space="preserve">Alene i 2022 er der meldt om 4 dødsulykker på grønlandske arbejdspladser. </w:t>
      </w:r>
      <w:r>
        <w:rPr>
          <w:rFonts w:ascii="Tahoma" w:hAnsi="Tahoma" w:cs="Tahoma"/>
          <w:color w:val="000000"/>
          <w:sz w:val="20"/>
          <w:szCs w:val="20"/>
        </w:rPr>
        <w:t>B</w:t>
      </w:r>
      <w:r w:rsidRPr="002C716D">
        <w:rPr>
          <w:rFonts w:ascii="Tahoma" w:hAnsi="Tahoma" w:cs="Tahoma"/>
          <w:color w:val="000000"/>
          <w:sz w:val="20"/>
          <w:szCs w:val="20"/>
        </w:rPr>
        <w:t xml:space="preserve">aggrundene </w:t>
      </w:r>
      <w:r>
        <w:rPr>
          <w:rFonts w:ascii="Tahoma" w:hAnsi="Tahoma" w:cs="Tahoma"/>
          <w:color w:val="000000"/>
          <w:sz w:val="20"/>
          <w:szCs w:val="20"/>
        </w:rPr>
        <w:t xml:space="preserve">for ulykkerne er i alle tilfælde ikke kendte, </w:t>
      </w:r>
      <w:r w:rsidRPr="002C716D">
        <w:rPr>
          <w:rFonts w:ascii="Tahoma" w:hAnsi="Tahoma" w:cs="Tahoma"/>
          <w:color w:val="000000"/>
          <w:sz w:val="20"/>
          <w:szCs w:val="20"/>
        </w:rPr>
        <w:t xml:space="preserve">men </w:t>
      </w:r>
      <w:r>
        <w:rPr>
          <w:rFonts w:ascii="Tahoma" w:hAnsi="Tahoma" w:cs="Tahoma"/>
          <w:color w:val="000000"/>
          <w:sz w:val="20"/>
          <w:szCs w:val="20"/>
        </w:rPr>
        <w:t>som samfund er vi</w:t>
      </w:r>
      <w:r w:rsidRPr="002C716D">
        <w:rPr>
          <w:rFonts w:ascii="Tahoma" w:hAnsi="Tahoma" w:cs="Tahoma"/>
          <w:color w:val="000000"/>
          <w:sz w:val="20"/>
          <w:szCs w:val="20"/>
        </w:rPr>
        <w:t xml:space="preserve"> nødt til at forholde os til at der kommer et øget fokus på sikkerhed og arbejdsmiljø. Og det er kun naturligt, at </w:t>
      </w:r>
      <w:r>
        <w:rPr>
          <w:rFonts w:ascii="Tahoma" w:hAnsi="Tahoma" w:cs="Tahoma"/>
          <w:color w:val="000000"/>
          <w:sz w:val="20"/>
          <w:szCs w:val="20"/>
        </w:rPr>
        <w:t xml:space="preserve">foreningen har </w:t>
      </w:r>
      <w:r w:rsidRPr="002C716D">
        <w:rPr>
          <w:rFonts w:ascii="Tahoma" w:hAnsi="Tahoma" w:cs="Tahoma"/>
          <w:color w:val="000000"/>
          <w:sz w:val="20"/>
          <w:szCs w:val="20"/>
        </w:rPr>
        <w:t>indtage</w:t>
      </w:r>
      <w:r>
        <w:rPr>
          <w:rFonts w:ascii="Tahoma" w:hAnsi="Tahoma" w:cs="Tahoma"/>
          <w:color w:val="000000"/>
          <w:sz w:val="20"/>
          <w:szCs w:val="20"/>
        </w:rPr>
        <w:t>t</w:t>
      </w:r>
      <w:r w:rsidRPr="002C716D">
        <w:rPr>
          <w:rFonts w:ascii="Tahoma" w:hAnsi="Tahoma" w:cs="Tahoma"/>
          <w:color w:val="000000"/>
          <w:sz w:val="20"/>
          <w:szCs w:val="20"/>
        </w:rPr>
        <w:t xml:space="preserve"> en vigtig rolle heri.</w:t>
      </w:r>
    </w:p>
    <w:p w14:paraId="4A80C01D" w14:textId="1F181FF7" w:rsidR="002C716D" w:rsidRPr="002C716D" w:rsidRDefault="002C716D" w:rsidP="002C716D">
      <w:pPr>
        <w:shd w:val="clear" w:color="auto" w:fill="FFFFFF"/>
        <w:spacing w:after="240"/>
        <w:textAlignment w:val="baseline"/>
        <w:rPr>
          <w:rFonts w:ascii="Tahoma" w:hAnsi="Tahoma" w:cs="Tahoma"/>
          <w:color w:val="000000"/>
          <w:sz w:val="20"/>
          <w:szCs w:val="20"/>
        </w:rPr>
      </w:pPr>
      <w:r>
        <w:rPr>
          <w:rFonts w:ascii="Tahoma" w:hAnsi="Tahoma" w:cs="Tahoma"/>
          <w:color w:val="000000"/>
          <w:sz w:val="20"/>
          <w:szCs w:val="20"/>
        </w:rPr>
        <w:t xml:space="preserve">Generelt har de grønlandske virksomheder </w:t>
      </w:r>
      <w:r w:rsidRPr="002C716D">
        <w:rPr>
          <w:rFonts w:ascii="Tahoma" w:hAnsi="Tahoma" w:cs="Tahoma"/>
          <w:color w:val="000000"/>
          <w:sz w:val="20"/>
          <w:szCs w:val="20"/>
        </w:rPr>
        <w:t xml:space="preserve">deres procedurer </w:t>
      </w:r>
      <w:r>
        <w:rPr>
          <w:rFonts w:ascii="Tahoma" w:hAnsi="Tahoma" w:cs="Tahoma"/>
          <w:color w:val="000000"/>
          <w:sz w:val="20"/>
          <w:szCs w:val="20"/>
        </w:rPr>
        <w:t xml:space="preserve">og oplæring </w:t>
      </w:r>
      <w:r w:rsidRPr="002C716D">
        <w:rPr>
          <w:rFonts w:ascii="Tahoma" w:hAnsi="Tahoma" w:cs="Tahoma"/>
          <w:color w:val="000000"/>
          <w:sz w:val="20"/>
          <w:szCs w:val="20"/>
        </w:rPr>
        <w:t xml:space="preserve">på plads. Men der er en dimension mere til arbejdet med sikkerhed, som </w:t>
      </w:r>
      <w:r>
        <w:rPr>
          <w:rFonts w:ascii="Tahoma" w:hAnsi="Tahoma" w:cs="Tahoma"/>
          <w:color w:val="000000"/>
          <w:sz w:val="20"/>
          <w:szCs w:val="20"/>
        </w:rPr>
        <w:t xml:space="preserve">med fordel kan </w:t>
      </w:r>
      <w:r w:rsidRPr="002C716D">
        <w:rPr>
          <w:rFonts w:ascii="Tahoma" w:hAnsi="Tahoma" w:cs="Tahoma"/>
          <w:color w:val="000000"/>
          <w:sz w:val="20"/>
          <w:szCs w:val="20"/>
        </w:rPr>
        <w:t>adressere</w:t>
      </w:r>
      <w:r>
        <w:rPr>
          <w:rFonts w:ascii="Tahoma" w:hAnsi="Tahoma" w:cs="Tahoma"/>
          <w:color w:val="000000"/>
          <w:sz w:val="20"/>
          <w:szCs w:val="20"/>
        </w:rPr>
        <w:t>s</w:t>
      </w:r>
      <w:r w:rsidRPr="002C716D">
        <w:rPr>
          <w:rFonts w:ascii="Tahoma" w:hAnsi="Tahoma" w:cs="Tahoma"/>
          <w:color w:val="000000"/>
          <w:sz w:val="20"/>
          <w:szCs w:val="20"/>
        </w:rPr>
        <w:t xml:space="preserve">. Nemlig, sikkerhedskulturen. Det er ikke nok, at hardhats, sikkerhedsseler og manualer er til rådighed og folk er instrueret i brugen i dem, hvis der på arbejdspladsen er en kultur om, at </w:t>
      </w:r>
      <w:r w:rsidRPr="002C716D">
        <w:rPr>
          <w:rFonts w:ascii="Tahoma" w:hAnsi="Tahoma" w:cs="Tahoma"/>
          <w:i/>
          <w:iCs/>
          <w:color w:val="000000"/>
          <w:sz w:val="20"/>
          <w:szCs w:val="20"/>
        </w:rPr>
        <w:t>det bruger vi ikke</w:t>
      </w:r>
      <w:r w:rsidRPr="002C716D">
        <w:rPr>
          <w:rFonts w:ascii="Tahoma" w:hAnsi="Tahoma" w:cs="Tahoma"/>
          <w:color w:val="000000"/>
          <w:sz w:val="20"/>
          <w:szCs w:val="20"/>
        </w:rPr>
        <w:t xml:space="preserve">. </w:t>
      </w:r>
      <w:r>
        <w:rPr>
          <w:rFonts w:ascii="Tahoma" w:hAnsi="Tahoma" w:cs="Tahoma"/>
          <w:color w:val="000000"/>
          <w:sz w:val="20"/>
          <w:szCs w:val="20"/>
        </w:rPr>
        <w:t xml:space="preserve">Den menneskelige og kulturelle dimension i arbejdet med en </w:t>
      </w:r>
      <w:r w:rsidRPr="002C716D">
        <w:rPr>
          <w:rFonts w:ascii="Tahoma" w:hAnsi="Tahoma" w:cs="Tahoma"/>
          <w:color w:val="000000"/>
          <w:sz w:val="20"/>
          <w:szCs w:val="20"/>
        </w:rPr>
        <w:t xml:space="preserve">sikkerhedskultur </w:t>
      </w:r>
      <w:r>
        <w:rPr>
          <w:rFonts w:ascii="Tahoma" w:hAnsi="Tahoma" w:cs="Tahoma"/>
          <w:color w:val="000000"/>
          <w:sz w:val="20"/>
          <w:szCs w:val="20"/>
        </w:rPr>
        <w:t>på</w:t>
      </w:r>
      <w:r w:rsidRPr="002C716D">
        <w:rPr>
          <w:rFonts w:ascii="Tahoma" w:hAnsi="Tahoma" w:cs="Tahoma"/>
          <w:color w:val="000000"/>
          <w:sz w:val="20"/>
          <w:szCs w:val="20"/>
        </w:rPr>
        <w:t xml:space="preserve"> arbejdsmarkedet </w:t>
      </w:r>
      <w:r>
        <w:rPr>
          <w:rFonts w:ascii="Tahoma" w:hAnsi="Tahoma" w:cs="Tahoma"/>
          <w:color w:val="000000"/>
          <w:sz w:val="20"/>
          <w:szCs w:val="20"/>
        </w:rPr>
        <w:t>fortjener et øget fokus</w:t>
      </w:r>
      <w:r w:rsidRPr="002C716D">
        <w:rPr>
          <w:rFonts w:ascii="Tahoma" w:hAnsi="Tahoma" w:cs="Tahoma"/>
          <w:color w:val="000000"/>
          <w:sz w:val="20"/>
          <w:szCs w:val="20"/>
        </w:rPr>
        <w:t xml:space="preserve">. </w:t>
      </w:r>
    </w:p>
    <w:p w14:paraId="548CD199" w14:textId="39545EBA" w:rsidR="002C716D" w:rsidRPr="00500FDD" w:rsidRDefault="002C716D" w:rsidP="002C716D">
      <w:pPr>
        <w:shd w:val="clear" w:color="auto" w:fill="FFFFFF"/>
        <w:spacing w:after="240"/>
        <w:textAlignment w:val="baseline"/>
        <w:rPr>
          <w:rFonts w:ascii="Tahoma" w:hAnsi="Tahoma" w:cs="Tahoma"/>
          <w:color w:val="000000"/>
          <w:sz w:val="20"/>
          <w:szCs w:val="20"/>
        </w:rPr>
      </w:pPr>
      <w:r w:rsidRPr="002C716D">
        <w:rPr>
          <w:rFonts w:ascii="Tahoma" w:hAnsi="Tahoma" w:cs="Tahoma"/>
          <w:color w:val="000000"/>
          <w:sz w:val="20"/>
          <w:szCs w:val="20"/>
        </w:rPr>
        <w:t xml:space="preserve">Udover det ulykkelige i at menneskeliv går tabt, så mangler </w:t>
      </w:r>
      <w:r>
        <w:rPr>
          <w:rFonts w:ascii="Tahoma" w:hAnsi="Tahoma" w:cs="Tahoma"/>
          <w:color w:val="000000"/>
          <w:sz w:val="20"/>
          <w:szCs w:val="20"/>
        </w:rPr>
        <w:t>Grønland</w:t>
      </w:r>
      <w:r w:rsidRPr="002C716D">
        <w:rPr>
          <w:rFonts w:ascii="Tahoma" w:hAnsi="Tahoma" w:cs="Tahoma"/>
          <w:color w:val="000000"/>
          <w:sz w:val="20"/>
          <w:szCs w:val="20"/>
        </w:rPr>
        <w:t xml:space="preserve"> i forvejen arbejdskraft og har ikke behov for at Grønland får et ry for at være et usikkert sted at arbejde. Det gør rekrutteringen endnu </w:t>
      </w:r>
      <w:r w:rsidRPr="00500FDD">
        <w:rPr>
          <w:rFonts w:ascii="Tahoma" w:hAnsi="Tahoma" w:cs="Tahoma"/>
          <w:color w:val="000000"/>
          <w:sz w:val="20"/>
          <w:szCs w:val="20"/>
        </w:rPr>
        <w:t>sværere.</w:t>
      </w:r>
    </w:p>
    <w:p w14:paraId="06901BE9" w14:textId="152D0070" w:rsidR="00500FDD" w:rsidRPr="00500FDD" w:rsidRDefault="00500FDD" w:rsidP="00500FDD">
      <w:pPr>
        <w:pStyle w:val="Heading3"/>
      </w:pPr>
      <w:r w:rsidRPr="00500FDD">
        <w:t>Bosætning og demografi</w:t>
      </w:r>
    </w:p>
    <w:p w14:paraId="7A769290" w14:textId="688BCFD1" w:rsidR="00500FDD" w:rsidRDefault="00500FDD" w:rsidP="00500FDD">
      <w:r w:rsidRPr="00500FDD">
        <w:t xml:space="preserve">GE har </w:t>
      </w:r>
      <w:r w:rsidR="00B14C1C">
        <w:t>siden 2020 arbejdet på at kortlægge den grønlandske erhvervsstruktur og den bosætning og demografiske udvikling, som skal understøtte erhvervene. Det er blevet til en rapport, der bl.a. fremskriver udviklingen.</w:t>
      </w:r>
    </w:p>
    <w:p w14:paraId="3D6038ED" w14:textId="77777777" w:rsidR="00E85D61" w:rsidRDefault="00B14C1C" w:rsidP="00500FDD">
      <w:r>
        <w:t xml:space="preserve">Konklusionen er at der siden 1979 ikke er ført en aktiv politik omkring bosætningen, hvilket bl.a. har ført til en egentlig urbanisering. Fortsætter dette vil </w:t>
      </w:r>
      <w:r w:rsidRPr="00B14C1C">
        <w:rPr>
          <w:vertAlign w:val="superscript"/>
        </w:rPr>
        <w:t>2</w:t>
      </w:r>
      <w:r>
        <w:t>/</w:t>
      </w:r>
      <w:r w:rsidRPr="00B14C1C">
        <w:rPr>
          <w:vertAlign w:val="subscript"/>
        </w:rPr>
        <w:t>3</w:t>
      </w:r>
      <w:r>
        <w:t xml:space="preserve"> af landets befolkning i 2100 bo i Nuuk. Ydermere opretholdes mange bosteder via krydssubsidiering og tilskud, så der ikke er et egentlig kostægte billede af hvad det betyder at bo i de mindre bosteder. Det skaber ikke motivation for at flytte eller til at tage del i fx den grønne omstilling (kunstigt lave energipriser motiverer ikke til at skifte eller flytte til grønnere energikilder). </w:t>
      </w:r>
    </w:p>
    <w:p w14:paraId="56B07A6A" w14:textId="11CF4DE2" w:rsidR="00B14C1C" w:rsidRDefault="00E85D61" w:rsidP="00500FDD">
      <w:r>
        <w:t>Fiskeriet er landets hovederhverv, men er ikke længere stedligt afhængigt, forstået som at skibene i dag er fabrikker, der ikke behøver landanlæg i samme omfang som tidligere. Kvoternes forpligtelser gør at dele af fangsten landes, bl.a. for at opretholde beskæftigelse, men som følge af lav arbejdsløshed importeres arbejdskraft fra bl.a. Asien til at bemande jobs på de fabrikker, der ikke er nødvendige for produktionen, men som holdes i live af politiske og sociale årsager. Heri består et paradoks.</w:t>
      </w:r>
    </w:p>
    <w:p w14:paraId="58EBA361" w14:textId="257FB5C4" w:rsidR="00E85D61" w:rsidRDefault="00E85D61" w:rsidP="00500FDD">
      <w:r w:rsidRPr="00E85D61">
        <w:t>Et andet paradoks, som rapporten peger på, er at der få steder er arbejdsløshed</w:t>
      </w:r>
      <w:r>
        <w:t>, mens der andre steder er massiv mangel på arbejdskraft. Der er generelt lav sammenhæng mellem erhvervsstrukturer og bosætning konkluderer rapporten.</w:t>
      </w:r>
    </w:p>
    <w:p w14:paraId="2F6CDA46" w14:textId="7D98351B" w:rsidR="00E85D61" w:rsidRPr="00E85D61" w:rsidRDefault="00E85D61" w:rsidP="00500FDD">
      <w:r w:rsidRPr="00E85D61">
        <w:lastRenderedPageBreak/>
        <w:t>Rapporten har ikke haft t</w:t>
      </w:r>
      <w:r>
        <w:t>il formål at foreslå den ene løsning over den anden, men at skitsere forskellige scenarier. Grønlands Erhverv mener, at der skal føres en aktiv politik på området og at denne skal kunne tåle en offentlig debat, hvilket rapporten er tænkt som et bidrag til. Det er vigtigt, at der tænkes hele landet, så der ikke sker en unødig koncentration i Nuuk. Et opgør med den solidariske tilgang til bosætning og fordeling af investeringer kan være nødvendig, så der investeres i nogle stærke bosteder, hvor potentialet for vækst, velfærd og adgang til naturressourcer er i fokus.</w:t>
      </w:r>
    </w:p>
    <w:p w14:paraId="48D359DE" w14:textId="6E8804EA" w:rsidR="00465833" w:rsidRDefault="00465833" w:rsidP="00465833">
      <w:pPr>
        <w:pStyle w:val="Heading3"/>
      </w:pPr>
      <w:r w:rsidRPr="00465833">
        <w:t>Uddannelse</w:t>
      </w:r>
    </w:p>
    <w:p w14:paraId="73316C7B" w14:textId="2DBC6F81" w:rsidR="00465833" w:rsidRDefault="00465833" w:rsidP="00E87951">
      <w:pPr>
        <w:rPr>
          <w:rFonts w:ascii="Tahoma" w:hAnsi="Tahoma" w:cs="Tahoma"/>
          <w:sz w:val="20"/>
          <w:szCs w:val="20"/>
        </w:rPr>
      </w:pPr>
      <w:r>
        <w:rPr>
          <w:rFonts w:ascii="Tahoma" w:hAnsi="Tahoma" w:cs="Tahoma"/>
          <w:sz w:val="20"/>
          <w:szCs w:val="20"/>
        </w:rPr>
        <w:t>Foreningen har indtil 2022 drevet en kampagne målrettet et løft af folkeskolen, kaldet ”</w:t>
      </w:r>
      <w:r w:rsidRPr="00465833">
        <w:rPr>
          <w:rFonts w:ascii="Tahoma" w:hAnsi="Tahoma" w:cs="Tahoma"/>
          <w:i/>
          <w:iCs/>
          <w:sz w:val="20"/>
          <w:szCs w:val="20"/>
        </w:rPr>
        <w:t>Vores børn fortjener en bedre fremtid</w:t>
      </w:r>
      <w:r>
        <w:rPr>
          <w:rFonts w:ascii="Tahoma" w:hAnsi="Tahoma" w:cs="Tahoma"/>
          <w:sz w:val="20"/>
          <w:szCs w:val="20"/>
        </w:rPr>
        <w:t xml:space="preserve">”. Kampagne er ikke længere aktiv, men foreningen har fortsatte stærke holdninger til emnet uddannelse og folkeskole, og ser med bekymring på den udvikling der sker. Alene 29 % af de elever, der forlader folkeskolen har opnået karakterer i alle fag, der er adgangsgivende til videre uddannelse, fx på GUX. Dermed er der 71 %, der har behov for opkvalificering, realkompetencevurderinger m.v. To år efter endt folkeskoleuddannelse er alene 50 % af en årgang gået videre i uddannelsessystemet. I alle ”led” af uddannelsessystemet er der et frafald på næsten 50 %. Dette til trods er der en mindre fremgang i antallet af borgere, der har et uddannelsesmæssigt niveau, der ligger over 10. klasse. </w:t>
      </w:r>
    </w:p>
    <w:p w14:paraId="310E69BA" w14:textId="162B9716" w:rsidR="00465833" w:rsidRDefault="00465833" w:rsidP="00E87951">
      <w:pPr>
        <w:rPr>
          <w:rFonts w:ascii="Tahoma" w:hAnsi="Tahoma" w:cs="Tahoma"/>
          <w:sz w:val="20"/>
          <w:szCs w:val="20"/>
        </w:rPr>
      </w:pPr>
      <w:r>
        <w:rPr>
          <w:rFonts w:ascii="Tahoma" w:hAnsi="Tahoma" w:cs="Tahoma"/>
          <w:sz w:val="20"/>
          <w:szCs w:val="20"/>
        </w:rPr>
        <w:t>MEN – vores uddannelsessystem er fortsat ikke stærkt nok til dels at give den enkelte de bedte forudsætninger for at skabe et godt liv for sig selv og dels at sikre den fremtidige arbejdsstyrke. Arbejdspladserne melder om dårlige kundskaber i basale fag som sprog og matematik. I tillæg hertil er der fortsat sociale og kulturelle udfordringer, der gør det svært for mange at blive i uddannelsessystemet eller på arbejdsmarkedet. Foreningen mener ydermere at indsatsen rettet mod vores børn og unge skal starte tidligt, allerede før fødslen, fordi mange børn allerede er så svigtede, at de når de starter i folkeskolen i 6-års alderen ikke er modtagelige for læring.</w:t>
      </w:r>
    </w:p>
    <w:p w14:paraId="214FE842" w14:textId="47635B09" w:rsidR="00465833" w:rsidRPr="00465833" w:rsidRDefault="00465833" w:rsidP="00E87951">
      <w:pPr>
        <w:rPr>
          <w:rFonts w:ascii="Tahoma" w:hAnsi="Tahoma" w:cs="Tahoma"/>
          <w:sz w:val="20"/>
          <w:szCs w:val="20"/>
        </w:rPr>
      </w:pPr>
      <w:r>
        <w:rPr>
          <w:rFonts w:ascii="Tahoma" w:hAnsi="Tahoma" w:cs="Tahoma"/>
          <w:sz w:val="20"/>
          <w:szCs w:val="20"/>
        </w:rPr>
        <w:t>Foreningen ser med bekymring på at der ikke synes at være fokus nok på bl.a. folkeskolen, og at man politisk forsøger at indføre flere uddannelser på niveauer, hvor der kommer til at mangle relevante kandidater og undervisere.</w:t>
      </w:r>
      <w:r w:rsidR="004017AE">
        <w:rPr>
          <w:rFonts w:ascii="Tahoma" w:hAnsi="Tahoma" w:cs="Tahoma"/>
          <w:sz w:val="20"/>
          <w:szCs w:val="20"/>
        </w:rPr>
        <w:t xml:space="preserve"> Foreningen er engageret i de politiske indsatser, der er igangsat i relation hertil, men efterlyser politisk ansvar for processen og en realistisk tilgang til hvad der er 1. behov for i Grønland og 2. hvad der er realistisk!</w:t>
      </w:r>
    </w:p>
    <w:p w14:paraId="550262AF" w14:textId="36C1DFD1" w:rsidR="00A37994" w:rsidRPr="0087100C" w:rsidRDefault="00A37994" w:rsidP="00E3522B">
      <w:pPr>
        <w:pStyle w:val="Heading3"/>
      </w:pPr>
      <w:r w:rsidRPr="0087100C">
        <w:t>GE</w:t>
      </w:r>
      <w:r w:rsidR="0087100C" w:rsidRPr="0087100C">
        <w:t xml:space="preserve"> er tydeligere på sociale medier og oplever mere interaktion med medlemmer og interessenter </w:t>
      </w:r>
    </w:p>
    <w:p w14:paraId="18F6C2FB" w14:textId="3CB722B2" w:rsidR="006F0CA3" w:rsidRDefault="00D673A7" w:rsidP="00A37994">
      <w:pPr>
        <w:rPr>
          <w:rFonts w:ascii="Tahoma" w:hAnsi="Tahoma" w:cs="Tahoma"/>
          <w:sz w:val="20"/>
          <w:szCs w:val="20"/>
        </w:rPr>
      </w:pPr>
      <w:r w:rsidRPr="00D673A7">
        <w:rPr>
          <w:rFonts w:ascii="Tahoma" w:hAnsi="Tahoma" w:cs="Tahoma"/>
          <w:sz w:val="20"/>
          <w:szCs w:val="20"/>
        </w:rPr>
        <w:t>Foreningen</w:t>
      </w:r>
      <w:r>
        <w:rPr>
          <w:rFonts w:ascii="Tahoma" w:hAnsi="Tahoma" w:cs="Tahoma"/>
          <w:sz w:val="20"/>
          <w:szCs w:val="20"/>
        </w:rPr>
        <w:t xml:space="preserve"> har øget sin tilstedeværelse på sociale medier, primært Facebook og LinkedIn</w:t>
      </w:r>
      <w:r w:rsidR="006F0CA3">
        <w:rPr>
          <w:rFonts w:ascii="Tahoma" w:hAnsi="Tahoma" w:cs="Tahoma"/>
          <w:sz w:val="20"/>
          <w:szCs w:val="20"/>
        </w:rPr>
        <w:t xml:space="preserve">, og øger generelt sin interaktion, delvist på bekostning af mere konventionelle medier. Tidsskriftet Aurora udkommer nu kun én gang årligt, men tilstræber at være et langtidsholdbart debatindlæg mere end et egentligt nyhedsmedie. </w:t>
      </w:r>
    </w:p>
    <w:p w14:paraId="118905F7" w14:textId="2B81B735" w:rsidR="006F0CA3" w:rsidRDefault="006F0CA3" w:rsidP="00A37994">
      <w:pPr>
        <w:rPr>
          <w:rFonts w:ascii="Tahoma" w:hAnsi="Tahoma" w:cs="Tahoma"/>
          <w:sz w:val="20"/>
          <w:szCs w:val="20"/>
        </w:rPr>
      </w:pPr>
      <w:r>
        <w:rPr>
          <w:rFonts w:ascii="Tahoma" w:hAnsi="Tahoma" w:cs="Tahoma"/>
          <w:sz w:val="20"/>
          <w:szCs w:val="20"/>
        </w:rPr>
        <w:t xml:space="preserve">Den ændrede strategi giver foreningen mulighed for at nå nye målgrupper og skabe debat – både i befolkningen, blandt medlemsvirksomheder og med politikere. </w:t>
      </w:r>
    </w:p>
    <w:p w14:paraId="2A5E37EF" w14:textId="0CF18C5B" w:rsidR="006F0CA3" w:rsidRDefault="006F0CA3" w:rsidP="00A37994">
      <w:pPr>
        <w:rPr>
          <w:rFonts w:ascii="Tahoma" w:hAnsi="Tahoma" w:cs="Tahoma"/>
          <w:sz w:val="20"/>
          <w:szCs w:val="20"/>
        </w:rPr>
      </w:pPr>
      <w:r>
        <w:rPr>
          <w:rFonts w:ascii="Tahoma" w:hAnsi="Tahoma" w:cs="Tahoma"/>
          <w:sz w:val="20"/>
          <w:szCs w:val="20"/>
        </w:rPr>
        <w:t>Kampagnen ”vores børn fortjener en bedre fremtid” er nedlagt, men foreningen er fortsat af den holdning, at vores uddannelsessystem fortjener en overhaling og at det er dybt problematisk, at vi som samfund ikke formår at give vores børn og unge de bedste forudsætninger for en uddannelse.</w:t>
      </w:r>
    </w:p>
    <w:p w14:paraId="48D4E49A" w14:textId="7DDDC0BB" w:rsidR="00A37994" w:rsidRPr="006F0CA3" w:rsidRDefault="00A37994" w:rsidP="00A37994">
      <w:pPr>
        <w:rPr>
          <w:rFonts w:ascii="Tahoma" w:hAnsi="Tahoma" w:cs="Tahoma"/>
          <w:sz w:val="20"/>
          <w:szCs w:val="20"/>
        </w:rPr>
      </w:pPr>
      <w:r w:rsidRPr="00D673A7">
        <w:rPr>
          <w:rFonts w:ascii="Tahoma" w:hAnsi="Tahoma" w:cs="Tahoma"/>
          <w:sz w:val="20"/>
          <w:szCs w:val="20"/>
        </w:rPr>
        <w:t xml:space="preserve">Kampagnen ”Bevar Grønlands fiskeri” </w:t>
      </w:r>
      <w:r w:rsidR="00D673A7" w:rsidRPr="00D673A7">
        <w:rPr>
          <w:rFonts w:ascii="Tahoma" w:hAnsi="Tahoma" w:cs="Tahoma"/>
          <w:sz w:val="20"/>
          <w:szCs w:val="20"/>
        </w:rPr>
        <w:t xml:space="preserve">er en meget fagspecifik kampagne, der drives i et samarbejde mellem Grønlands Erhverv og Polar </w:t>
      </w:r>
      <w:proofErr w:type="spellStart"/>
      <w:r w:rsidR="00D673A7" w:rsidRPr="00D673A7">
        <w:rPr>
          <w:rFonts w:ascii="Tahoma" w:hAnsi="Tahoma" w:cs="Tahoma"/>
          <w:sz w:val="20"/>
          <w:szCs w:val="20"/>
        </w:rPr>
        <w:t>Seafood</w:t>
      </w:r>
      <w:proofErr w:type="spellEnd"/>
      <w:r w:rsidR="00D673A7" w:rsidRPr="00D673A7">
        <w:rPr>
          <w:rFonts w:ascii="Tahoma" w:hAnsi="Tahoma" w:cs="Tahoma"/>
          <w:sz w:val="20"/>
          <w:szCs w:val="20"/>
        </w:rPr>
        <w:t xml:space="preserve">. Kampagnen har sine </w:t>
      </w:r>
      <w:r w:rsidRPr="00D673A7">
        <w:rPr>
          <w:rFonts w:ascii="Tahoma" w:hAnsi="Tahoma" w:cs="Tahoma"/>
          <w:sz w:val="20"/>
          <w:szCs w:val="20"/>
        </w:rPr>
        <w:t>e</w:t>
      </w:r>
      <w:r w:rsidR="00D673A7" w:rsidRPr="00D673A7">
        <w:rPr>
          <w:rFonts w:ascii="Tahoma" w:hAnsi="Tahoma" w:cs="Tahoma"/>
          <w:sz w:val="20"/>
          <w:szCs w:val="20"/>
        </w:rPr>
        <w:t>ge</w:t>
      </w:r>
      <w:r w:rsidRPr="00D673A7">
        <w:rPr>
          <w:rFonts w:ascii="Tahoma" w:hAnsi="Tahoma" w:cs="Tahoma"/>
          <w:sz w:val="20"/>
          <w:szCs w:val="20"/>
        </w:rPr>
        <w:t>n selvstændig</w:t>
      </w:r>
      <w:r w:rsidR="00D673A7" w:rsidRPr="00D673A7">
        <w:rPr>
          <w:rFonts w:ascii="Tahoma" w:hAnsi="Tahoma" w:cs="Tahoma"/>
          <w:sz w:val="20"/>
          <w:szCs w:val="20"/>
        </w:rPr>
        <w:t>e</w:t>
      </w:r>
      <w:r w:rsidRPr="00D673A7">
        <w:rPr>
          <w:rFonts w:ascii="Tahoma" w:hAnsi="Tahoma" w:cs="Tahoma"/>
          <w:sz w:val="20"/>
          <w:szCs w:val="20"/>
        </w:rPr>
        <w:t xml:space="preserve"> Facebookside og </w:t>
      </w:r>
      <w:r w:rsidR="00D673A7" w:rsidRPr="00D673A7">
        <w:rPr>
          <w:rFonts w:ascii="Tahoma" w:hAnsi="Tahoma" w:cs="Tahoma"/>
          <w:sz w:val="20"/>
          <w:szCs w:val="20"/>
        </w:rPr>
        <w:t xml:space="preserve">er en optakt </w:t>
      </w:r>
      <w:r w:rsidR="00D673A7" w:rsidRPr="00D673A7">
        <w:rPr>
          <w:rFonts w:ascii="Tahoma" w:hAnsi="Tahoma" w:cs="Tahoma"/>
          <w:sz w:val="20"/>
          <w:szCs w:val="20"/>
        </w:rPr>
        <w:lastRenderedPageBreak/>
        <w:t xml:space="preserve">til den ny fiskerilov, som forventes at komme i stand med udgangspunkt i </w:t>
      </w:r>
      <w:r w:rsidRPr="00D673A7">
        <w:rPr>
          <w:rFonts w:ascii="Tahoma" w:hAnsi="Tahoma" w:cs="Tahoma"/>
          <w:sz w:val="20"/>
          <w:szCs w:val="20"/>
        </w:rPr>
        <w:t>Fiskerikommissionen</w:t>
      </w:r>
      <w:r w:rsidR="00D673A7" w:rsidRPr="00D673A7">
        <w:rPr>
          <w:rFonts w:ascii="Tahoma" w:hAnsi="Tahoma" w:cs="Tahoma"/>
          <w:sz w:val="20"/>
          <w:szCs w:val="20"/>
        </w:rPr>
        <w:t>s</w:t>
      </w:r>
      <w:r w:rsidRPr="00D673A7">
        <w:rPr>
          <w:rFonts w:ascii="Tahoma" w:hAnsi="Tahoma" w:cs="Tahoma"/>
          <w:sz w:val="20"/>
          <w:szCs w:val="20"/>
        </w:rPr>
        <w:t xml:space="preserve"> betænkning.</w:t>
      </w:r>
      <w:r w:rsidR="00D673A7" w:rsidRPr="00D673A7">
        <w:rPr>
          <w:rFonts w:ascii="Tahoma" w:hAnsi="Tahoma" w:cs="Tahoma"/>
          <w:sz w:val="20"/>
          <w:szCs w:val="20"/>
        </w:rPr>
        <w:t xml:space="preserve"> Arbejdet med fiskeriloven er forsinket, men kampagnen fortsætter på et vågeblus. I lighed med foreningens øvrige aktiviteter på sociale medier, skaber kampagnen debat og medvirker til at flytte holdninger.</w:t>
      </w:r>
    </w:p>
    <w:p w14:paraId="770CADF1" w14:textId="7E15BADE" w:rsidR="009C5774" w:rsidRPr="00C52CE7" w:rsidRDefault="009C5774" w:rsidP="00E3522B">
      <w:pPr>
        <w:pStyle w:val="Heading3"/>
      </w:pPr>
      <w:r w:rsidRPr="00C52CE7">
        <w:t>Nye lufthavne</w:t>
      </w:r>
      <w:r w:rsidR="00C52CE7" w:rsidRPr="00C52CE7">
        <w:t xml:space="preserve"> – nye erhvervsmuligheder</w:t>
      </w:r>
    </w:p>
    <w:p w14:paraId="2673D40A" w14:textId="13795702" w:rsidR="00C52CE7" w:rsidRDefault="00C52CE7" w:rsidP="00A37994">
      <w:pPr>
        <w:rPr>
          <w:rFonts w:ascii="Tahoma" w:hAnsi="Tahoma" w:cs="Tahoma"/>
          <w:sz w:val="20"/>
          <w:szCs w:val="20"/>
        </w:rPr>
      </w:pPr>
      <w:r w:rsidRPr="00C52CE7">
        <w:rPr>
          <w:rFonts w:ascii="Tahoma" w:hAnsi="Tahoma" w:cs="Tahoma"/>
          <w:sz w:val="20"/>
          <w:szCs w:val="20"/>
        </w:rPr>
        <w:t>I både Nuuk, Ilulissat og Qaqortoq er det nu tydeligt, at er inden længe vil være nye landingsban</w:t>
      </w:r>
      <w:r>
        <w:rPr>
          <w:rFonts w:ascii="Tahoma" w:hAnsi="Tahoma" w:cs="Tahoma"/>
          <w:sz w:val="20"/>
          <w:szCs w:val="20"/>
        </w:rPr>
        <w:t xml:space="preserve">er klar til at fragte forretningsrejsende, turister, fragt og post ind og ud af Grønland. </w:t>
      </w:r>
      <w:r w:rsidR="007E311B">
        <w:rPr>
          <w:rFonts w:ascii="Tahoma" w:hAnsi="Tahoma" w:cs="Tahoma"/>
          <w:sz w:val="20"/>
          <w:szCs w:val="20"/>
        </w:rPr>
        <w:t xml:space="preserve">Munck-gruppen bygger i Nuuk og Ilulissat og canadiske Pennecon bygger i Qaqortoq. Sidstnævnte har meldt sig ind i GE og opretholder en tæt relation til foreningen og dens medlemmer, mens førstnævnte ikke har meldt sig ind. </w:t>
      </w:r>
    </w:p>
    <w:p w14:paraId="310BB607" w14:textId="77638CAD" w:rsidR="007E311B" w:rsidRDefault="007E311B" w:rsidP="00A37994">
      <w:pPr>
        <w:rPr>
          <w:rFonts w:ascii="Tahoma" w:hAnsi="Tahoma" w:cs="Tahoma"/>
          <w:sz w:val="20"/>
          <w:szCs w:val="20"/>
        </w:rPr>
      </w:pPr>
      <w:r>
        <w:rPr>
          <w:rFonts w:ascii="Tahoma" w:hAnsi="Tahoma" w:cs="Tahoma"/>
          <w:sz w:val="20"/>
          <w:szCs w:val="20"/>
        </w:rPr>
        <w:t xml:space="preserve">19 nationaliteter er involveret i byggerierne, hvilket vidner om den mangel på arbejdskraft som Grønland og verden oplever. </w:t>
      </w:r>
    </w:p>
    <w:p w14:paraId="2A516801" w14:textId="064FE255" w:rsidR="007E311B" w:rsidRDefault="007E311B" w:rsidP="00A37994">
      <w:pPr>
        <w:rPr>
          <w:rFonts w:ascii="Tahoma" w:hAnsi="Tahoma" w:cs="Tahoma"/>
          <w:sz w:val="20"/>
          <w:szCs w:val="20"/>
        </w:rPr>
      </w:pPr>
      <w:r>
        <w:rPr>
          <w:rFonts w:ascii="Tahoma" w:hAnsi="Tahoma" w:cs="Tahoma"/>
          <w:sz w:val="20"/>
          <w:szCs w:val="20"/>
        </w:rPr>
        <w:t xml:space="preserve">Lufthavnene alene skaber ikke aktivitet, men kan være en forudsætning for aktivitet og vækst. Landingsbanen i Qaqortoq bringer byen tættere på resten af det trafikale netværk i landet, mens landingsbanerne i Nuuk og Ilulissat giver mulighed for radikale ændringer i trafikeringen af områderne. </w:t>
      </w:r>
    </w:p>
    <w:p w14:paraId="41AA8137" w14:textId="33673499" w:rsidR="007E311B" w:rsidRDefault="007E311B" w:rsidP="00A37994">
      <w:pPr>
        <w:rPr>
          <w:rFonts w:ascii="Tahoma" w:hAnsi="Tahoma" w:cs="Tahoma"/>
          <w:sz w:val="20"/>
          <w:szCs w:val="20"/>
        </w:rPr>
      </w:pPr>
      <w:r>
        <w:rPr>
          <w:rFonts w:ascii="Tahoma" w:hAnsi="Tahoma" w:cs="Tahoma"/>
          <w:sz w:val="20"/>
          <w:szCs w:val="20"/>
        </w:rPr>
        <w:t>GE sætter fokus på at landingsbanerne ikke alene skal komme lufthavnsbyerne til gode, men skal servicere alle omkringliggende byer, der ligger inden for det såkaldte ”</w:t>
      </w:r>
      <w:proofErr w:type="spellStart"/>
      <w:r>
        <w:rPr>
          <w:rFonts w:ascii="Tahoma" w:hAnsi="Tahoma" w:cs="Tahoma"/>
          <w:sz w:val="20"/>
          <w:szCs w:val="20"/>
        </w:rPr>
        <w:t>catchment-area</w:t>
      </w:r>
      <w:proofErr w:type="spellEnd"/>
      <w:r>
        <w:rPr>
          <w:rFonts w:ascii="Tahoma" w:hAnsi="Tahoma" w:cs="Tahoma"/>
          <w:sz w:val="20"/>
          <w:szCs w:val="20"/>
        </w:rPr>
        <w:t xml:space="preserve">”. Der har været politisk kritik af at erhvervslivet ikke er klar til når ”passagererne vælter ind” fra 2024, og det offentlige har annonceret at man er villig til at investere i hoteller og aktiviteter. Alt imens et offentlige kan agere fødselshjælper i visse tilfælde, er det vigtigt at investeringerne kommer i et tempo, så de lokale virksomheder kan tage størst muligt del i udviklingen. </w:t>
      </w:r>
    </w:p>
    <w:p w14:paraId="1959ACB3" w14:textId="751D5DC4" w:rsidR="00E51E3A" w:rsidRPr="00C52CE7" w:rsidRDefault="00E51E3A" w:rsidP="00A37994">
      <w:pPr>
        <w:rPr>
          <w:rFonts w:ascii="Tahoma" w:hAnsi="Tahoma" w:cs="Tahoma"/>
          <w:sz w:val="20"/>
          <w:szCs w:val="20"/>
        </w:rPr>
      </w:pPr>
      <w:r>
        <w:rPr>
          <w:rFonts w:ascii="Tahoma" w:hAnsi="Tahoma" w:cs="Tahoma"/>
          <w:sz w:val="20"/>
          <w:szCs w:val="20"/>
        </w:rPr>
        <w:t xml:space="preserve">GE driver sammen med GrønlandsBANKEN og Kalaallit </w:t>
      </w:r>
      <w:proofErr w:type="spellStart"/>
      <w:r>
        <w:rPr>
          <w:rFonts w:ascii="Tahoma" w:hAnsi="Tahoma" w:cs="Tahoma"/>
          <w:sz w:val="20"/>
          <w:szCs w:val="20"/>
        </w:rPr>
        <w:t>Airports</w:t>
      </w:r>
      <w:proofErr w:type="spellEnd"/>
      <w:r>
        <w:rPr>
          <w:rFonts w:ascii="Tahoma" w:hAnsi="Tahoma" w:cs="Tahoma"/>
          <w:sz w:val="20"/>
          <w:szCs w:val="20"/>
        </w:rPr>
        <w:t xml:space="preserve"> et projekt, der populært kaldes ”Global Greenland”. Projektet er finansieret af </w:t>
      </w:r>
      <w:r w:rsidR="008F7928">
        <w:rPr>
          <w:rFonts w:ascii="Tahoma" w:hAnsi="Tahoma" w:cs="Tahoma"/>
          <w:sz w:val="20"/>
          <w:szCs w:val="20"/>
        </w:rPr>
        <w:t>GrønlandsBANKEN ´s</w:t>
      </w:r>
      <w:r>
        <w:rPr>
          <w:rFonts w:ascii="Tahoma" w:hAnsi="Tahoma" w:cs="Tahoma"/>
          <w:sz w:val="20"/>
          <w:szCs w:val="20"/>
        </w:rPr>
        <w:t xml:space="preserve"> Erhvervsfond og har til formål at samle det lokale erhvervsliv rundt om i byerne på kysten med henblik på at bane vejen for flere investeringer i aktiviteter og indkvarteringer samt anden erhvervsaktivitet, der kan skabe efterspørgsel til de nye landingsbaner og lufthavne. Projektet kører i 2023 og 2024.</w:t>
      </w:r>
    </w:p>
    <w:p w14:paraId="451E702F" w14:textId="0C7CFF5D" w:rsidR="005051E1" w:rsidRPr="00B04A1F" w:rsidRDefault="00BE1CF4" w:rsidP="00E3522B">
      <w:pPr>
        <w:pStyle w:val="Heading3"/>
      </w:pPr>
      <w:r w:rsidRPr="00B04A1F">
        <w:t>Future Greenland</w:t>
      </w:r>
      <w:r w:rsidR="00B04A1F" w:rsidRPr="00B04A1F">
        <w:t xml:space="preserve"> Erhvervskonferencerne</w:t>
      </w:r>
    </w:p>
    <w:p w14:paraId="786291A2" w14:textId="3D2C9515" w:rsidR="00B04A1F" w:rsidRDefault="00DE0A25" w:rsidP="00A37994">
      <w:pPr>
        <w:rPr>
          <w:rFonts w:ascii="Tahoma" w:hAnsi="Tahoma" w:cs="Tahoma"/>
          <w:sz w:val="20"/>
          <w:szCs w:val="20"/>
        </w:rPr>
      </w:pPr>
      <w:r w:rsidRPr="00B04A1F">
        <w:rPr>
          <w:rFonts w:ascii="Tahoma" w:hAnsi="Tahoma" w:cs="Tahoma"/>
          <w:sz w:val="20"/>
          <w:szCs w:val="20"/>
        </w:rPr>
        <w:t xml:space="preserve">Future Greenland </w:t>
      </w:r>
      <w:r w:rsidR="00B04A1F" w:rsidRPr="00B04A1F">
        <w:rPr>
          <w:rFonts w:ascii="Tahoma" w:hAnsi="Tahoma" w:cs="Tahoma"/>
          <w:sz w:val="20"/>
          <w:szCs w:val="20"/>
        </w:rPr>
        <w:t>erhvervs</w:t>
      </w:r>
      <w:r w:rsidRPr="00B04A1F">
        <w:rPr>
          <w:rFonts w:ascii="Tahoma" w:hAnsi="Tahoma" w:cs="Tahoma"/>
          <w:sz w:val="20"/>
          <w:szCs w:val="20"/>
        </w:rPr>
        <w:t xml:space="preserve">konferencerne er </w:t>
      </w:r>
      <w:r w:rsidR="00B04A1F" w:rsidRPr="00B04A1F">
        <w:rPr>
          <w:rFonts w:ascii="Tahoma" w:hAnsi="Tahoma" w:cs="Tahoma"/>
          <w:sz w:val="20"/>
          <w:szCs w:val="20"/>
        </w:rPr>
        <w:t>på mange måder flagskibet i foreningens</w:t>
      </w:r>
      <w:r w:rsidR="00B04A1F">
        <w:rPr>
          <w:rFonts w:ascii="Tahoma" w:hAnsi="Tahoma" w:cs="Tahoma"/>
          <w:sz w:val="20"/>
          <w:szCs w:val="20"/>
        </w:rPr>
        <w:t xml:space="preserve"> arbejde med erhvervsudvikling og at bringe det grønlandske erhvervsliv på den globale scene. I 2022 gennemførtes endnu en konference, og også den blev en succes. Desværre udeblev den ”sædvanlige” kritik af konferencen ikke, og der synes i dele af samfundet at være en lav forståelse for at konferencen ikke påtager sig at løse alle Grønlands problemer, og at den koncentrerer sig om emner af erhvervsmæssig relevans, herunder erhvervspolitiske emner. Oplægsholdere og deltagere er en blanding af folk fra ind- og udland, og målet er at skabe en balance mellem udefrakommende inspiration og hjemmehørende forankring fora t skabe fremdrift.</w:t>
      </w:r>
    </w:p>
    <w:p w14:paraId="72602C27" w14:textId="54F30773" w:rsidR="00EB2067" w:rsidRDefault="00EB2067" w:rsidP="00A37994">
      <w:pPr>
        <w:rPr>
          <w:rFonts w:ascii="Tahoma" w:hAnsi="Tahoma" w:cs="Tahoma"/>
          <w:sz w:val="20"/>
          <w:szCs w:val="20"/>
        </w:rPr>
      </w:pPr>
      <w:r>
        <w:rPr>
          <w:rFonts w:ascii="Tahoma" w:hAnsi="Tahoma" w:cs="Tahoma"/>
          <w:sz w:val="20"/>
          <w:szCs w:val="20"/>
        </w:rPr>
        <w:t>I 2024 planlægges næste erhvervskonference, og den sætter fokus på bæredygtighed og Grønland på den globale arena. Konferencen suppleres af en ungdomskonference kaldet Future of Greenland, der målretter sig unge mennesker helt ned til 9. klasse niveau. Foreningen ønsker med konferencen at skabe interesse for civilsamfundet og erhvervslivet hos landets kommende generationer på arbejdsmarkedet. Konferencen skal finansieres af sponsorer, og NunaFonden har som den først bekræftet sit bidrag.</w:t>
      </w:r>
    </w:p>
    <w:p w14:paraId="2CB09FD8" w14:textId="4429B562" w:rsidR="00016CA1" w:rsidRPr="00EB2067" w:rsidRDefault="00016CA1" w:rsidP="000B6B67">
      <w:pPr>
        <w:spacing w:after="240"/>
        <w:rPr>
          <w:rFonts w:ascii="Tahoma" w:hAnsi="Tahoma" w:cs="Tahoma"/>
          <w:sz w:val="20"/>
          <w:szCs w:val="20"/>
        </w:rPr>
      </w:pPr>
      <w:r w:rsidRPr="00EB2067">
        <w:rPr>
          <w:rFonts w:ascii="Tahoma" w:hAnsi="Tahoma" w:cs="Tahoma"/>
          <w:sz w:val="20"/>
          <w:szCs w:val="20"/>
        </w:rPr>
        <w:t xml:space="preserve">Fyldig information om Future Greenland konferencerne på </w:t>
      </w:r>
      <w:hyperlink r:id="rId8" w:history="1">
        <w:r w:rsidRPr="00EB2067">
          <w:rPr>
            <w:rStyle w:val="Hyperlink"/>
            <w:rFonts w:ascii="Tahoma" w:hAnsi="Tahoma" w:cs="Tahoma"/>
            <w:sz w:val="20"/>
            <w:szCs w:val="20"/>
          </w:rPr>
          <w:t>www.futuregreenland.gl</w:t>
        </w:r>
      </w:hyperlink>
      <w:r w:rsidRPr="00EB2067">
        <w:rPr>
          <w:rFonts w:ascii="Tahoma" w:hAnsi="Tahoma" w:cs="Tahoma"/>
          <w:sz w:val="20"/>
          <w:szCs w:val="20"/>
        </w:rPr>
        <w:t xml:space="preserve">. </w:t>
      </w:r>
    </w:p>
    <w:p w14:paraId="71C9E5F3" w14:textId="252C7D9E" w:rsidR="00A01CF6" w:rsidRPr="00E80845" w:rsidRDefault="00A01CF6" w:rsidP="00E80845">
      <w:pPr>
        <w:pStyle w:val="Heading3"/>
      </w:pPr>
      <w:r w:rsidRPr="00E80845">
        <w:lastRenderedPageBreak/>
        <w:t xml:space="preserve">PDAC – råstofbranchens internationale </w:t>
      </w:r>
      <w:r w:rsidR="00E80845" w:rsidRPr="00E80845">
        <w:t>forum</w:t>
      </w:r>
    </w:p>
    <w:p w14:paraId="6AF8AA90" w14:textId="17453761" w:rsidR="00E80845" w:rsidRPr="00E80845" w:rsidRDefault="00E80845" w:rsidP="00CD322E">
      <w:pPr>
        <w:rPr>
          <w:rFonts w:ascii="Tahoma" w:hAnsi="Tahoma" w:cs="Tahoma"/>
          <w:sz w:val="20"/>
          <w:szCs w:val="20"/>
        </w:rPr>
      </w:pPr>
      <w:r w:rsidRPr="00E80845">
        <w:rPr>
          <w:rFonts w:ascii="Tahoma" w:hAnsi="Tahoma" w:cs="Tahoma"/>
          <w:sz w:val="20"/>
          <w:szCs w:val="20"/>
        </w:rPr>
        <w:t>Foreningen er hvert år medarrangør af et samlet grønlandsk handelsfremstød målrettet den internationale råstofindustri samlet under PDAC-konferencen i Toronto. I 2021 blev konferencen afviklet digitalt, mens den igen blev gennemført i et fysisk format i 2022, dog om sommeren og ikke som sædvanligt i marts. Dette påvirkede den internationale deltagelse, men ikke den grønlandske. I 2023 gennemføres konferencen på sædvanlig tid og sted, og der er udsigt til en stor grønlandsk delegation.</w:t>
      </w:r>
    </w:p>
    <w:p w14:paraId="556A34CA" w14:textId="096B0C39" w:rsidR="00E80845" w:rsidRPr="00E80845" w:rsidRDefault="00E80845" w:rsidP="00CD322E">
      <w:pPr>
        <w:rPr>
          <w:rFonts w:ascii="Tahoma" w:hAnsi="Tahoma" w:cs="Tahoma"/>
          <w:sz w:val="20"/>
          <w:szCs w:val="20"/>
        </w:rPr>
      </w:pPr>
      <w:r w:rsidRPr="00E80845">
        <w:rPr>
          <w:rFonts w:ascii="Tahoma" w:hAnsi="Tahoma" w:cs="Tahoma"/>
          <w:sz w:val="20"/>
          <w:szCs w:val="20"/>
        </w:rPr>
        <w:t xml:space="preserve">Foreningen bruger konferencen til at samle interessenter, herunder de selskaber, der har licens i Grønland. Foreningen afholder sammen med Grønlands Selvstyre en Greenland Day, hvor vores virksomheder præsenteres, et </w:t>
      </w:r>
      <w:proofErr w:type="spellStart"/>
      <w:r w:rsidRPr="00E80845">
        <w:rPr>
          <w:rFonts w:ascii="Tahoma" w:hAnsi="Tahoma" w:cs="Tahoma"/>
          <w:sz w:val="20"/>
          <w:szCs w:val="20"/>
        </w:rPr>
        <w:t>kick-off</w:t>
      </w:r>
      <w:proofErr w:type="spellEnd"/>
      <w:r w:rsidRPr="00E80845">
        <w:rPr>
          <w:rFonts w:ascii="Tahoma" w:hAnsi="Tahoma" w:cs="Tahoma"/>
          <w:sz w:val="20"/>
          <w:szCs w:val="20"/>
        </w:rPr>
        <w:t xml:space="preserve"> møde sammen med Trad Council, hvor Grønland og emner af relevans for branchen diskuteres samt et dialogmøde mellem Naalakkersuisoq for råstoffer og licensholdere i Grønland. Konferencens læring og opfølgningspunkter opsamler GE i en hvidbog, der danner grundlag for bl.a. dialogen med Naalakkersuisut samt brancheudvalgets arbejde. Hvidbogen kan downloades fra sulisitsisut.gl</w:t>
      </w:r>
    </w:p>
    <w:p w14:paraId="57BB4B10" w14:textId="3F549DBA" w:rsidR="0073142F" w:rsidRPr="00D44EE7" w:rsidRDefault="0073142F" w:rsidP="005B072A">
      <w:pPr>
        <w:rPr>
          <w:rFonts w:ascii="Tahoma" w:hAnsi="Tahoma" w:cs="Tahoma"/>
          <w:b/>
          <w:bCs/>
          <w:sz w:val="20"/>
          <w:szCs w:val="20"/>
        </w:rPr>
      </w:pPr>
      <w:r w:rsidRPr="00D44EE7">
        <w:rPr>
          <w:rFonts w:ascii="Tahoma" w:hAnsi="Tahoma" w:cs="Tahoma"/>
          <w:b/>
          <w:bCs/>
          <w:sz w:val="20"/>
          <w:szCs w:val="20"/>
        </w:rPr>
        <w:t>Bestyrelsen</w:t>
      </w:r>
      <w:r w:rsidR="00D44EE7" w:rsidRPr="00D44EE7">
        <w:rPr>
          <w:rFonts w:ascii="Tahoma" w:hAnsi="Tahoma" w:cs="Tahoma"/>
          <w:b/>
          <w:bCs/>
          <w:sz w:val="20"/>
          <w:szCs w:val="20"/>
        </w:rPr>
        <w:t xml:space="preserve"> indstiller:</w:t>
      </w:r>
    </w:p>
    <w:p w14:paraId="09AFECF2" w14:textId="2C33D179" w:rsidR="00D44EE7" w:rsidRPr="00D44EE7" w:rsidRDefault="00D44EE7" w:rsidP="005B072A">
      <w:pPr>
        <w:rPr>
          <w:rFonts w:ascii="Tahoma" w:hAnsi="Tahoma" w:cs="Tahoma"/>
          <w:sz w:val="20"/>
          <w:szCs w:val="20"/>
        </w:rPr>
      </w:pPr>
      <w:r w:rsidRPr="00D44EE7">
        <w:rPr>
          <w:rFonts w:ascii="Tahoma" w:hAnsi="Tahoma" w:cs="Tahoma"/>
          <w:b/>
          <w:bCs/>
          <w:sz w:val="20"/>
          <w:szCs w:val="20"/>
        </w:rPr>
        <w:tab/>
        <w:t>- at de delegerede godkender beretningen.</w:t>
      </w:r>
    </w:p>
    <w:p w14:paraId="7942B2B6" w14:textId="77777777" w:rsidR="00007129" w:rsidRDefault="00007129" w:rsidP="00E87951">
      <w:pPr>
        <w:rPr>
          <w:rFonts w:ascii="Tahoma" w:hAnsi="Tahoma" w:cs="Tahoma"/>
          <w:sz w:val="24"/>
          <w:szCs w:val="24"/>
        </w:rPr>
      </w:pPr>
    </w:p>
    <w:p w14:paraId="1294ED65" w14:textId="77777777" w:rsidR="00360B69" w:rsidRPr="003F56CB" w:rsidRDefault="00360B69">
      <w:pPr>
        <w:rPr>
          <w:sz w:val="18"/>
          <w:szCs w:val="18"/>
        </w:rPr>
      </w:pPr>
    </w:p>
    <w:sectPr w:rsidR="00360B69" w:rsidRPr="003F56CB" w:rsidSect="00460EBB">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F7385" w14:textId="77777777" w:rsidR="003069D9" w:rsidRDefault="003069D9" w:rsidP="001F5D8E">
      <w:pPr>
        <w:spacing w:after="0" w:line="240" w:lineRule="auto"/>
      </w:pPr>
      <w:r>
        <w:separator/>
      </w:r>
    </w:p>
  </w:endnote>
  <w:endnote w:type="continuationSeparator" w:id="0">
    <w:p w14:paraId="0B135161" w14:textId="77777777" w:rsidR="003069D9" w:rsidRDefault="003069D9" w:rsidP="001F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667333"/>
      <w:docPartObj>
        <w:docPartGallery w:val="Page Numbers (Bottom of Page)"/>
        <w:docPartUnique/>
      </w:docPartObj>
    </w:sdtPr>
    <w:sdtEndPr>
      <w:rPr>
        <w:noProof/>
      </w:rPr>
    </w:sdtEndPr>
    <w:sdtContent>
      <w:p w14:paraId="7A645D76" w14:textId="1D04415C" w:rsidR="007C5CE7" w:rsidRDefault="007C5C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31C8E7" w14:textId="77777777" w:rsidR="007C5CE7" w:rsidRDefault="007C5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A6A3" w14:textId="77777777" w:rsidR="003069D9" w:rsidRDefault="003069D9" w:rsidP="001F5D8E">
      <w:pPr>
        <w:spacing w:after="0" w:line="240" w:lineRule="auto"/>
      </w:pPr>
      <w:r>
        <w:separator/>
      </w:r>
    </w:p>
  </w:footnote>
  <w:footnote w:type="continuationSeparator" w:id="0">
    <w:p w14:paraId="205D95C7" w14:textId="77777777" w:rsidR="003069D9" w:rsidRDefault="003069D9" w:rsidP="001F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EBC" w14:textId="617592DC" w:rsidR="001F5D8E" w:rsidRDefault="001F5D8E">
    <w:pPr>
      <w:pStyle w:val="Header"/>
    </w:pPr>
    <w:r>
      <w:rPr>
        <w:noProof/>
      </w:rPr>
      <w:drawing>
        <wp:anchor distT="0" distB="0" distL="114300" distR="114300" simplePos="0" relativeHeight="251658240" behindDoc="0" locked="0" layoutInCell="1" allowOverlap="1" wp14:anchorId="6388B9D6" wp14:editId="7CABD860">
          <wp:simplePos x="0" y="0"/>
          <wp:positionH relativeFrom="column">
            <wp:posOffset>2486025</wp:posOffset>
          </wp:positionH>
          <wp:positionV relativeFrom="paragraph">
            <wp:posOffset>18415</wp:posOffset>
          </wp:positionV>
          <wp:extent cx="612775" cy="612775"/>
          <wp:effectExtent l="19050" t="0" r="0" b="0"/>
          <wp:wrapTight wrapText="bothSides">
            <wp:wrapPolygon edited="0">
              <wp:start x="-672" y="0"/>
              <wp:lineTo x="-672" y="20145"/>
              <wp:lineTo x="21488" y="20145"/>
              <wp:lineTo x="21488" y="0"/>
              <wp:lineTo x="-672" y="0"/>
            </wp:wrapPolygon>
          </wp:wrapTight>
          <wp:docPr id="7"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2775" cy="612775"/>
                  </a:xfrm>
                  <a:prstGeom prst="rect">
                    <a:avLst/>
                  </a:prstGeom>
                  <a:noFill/>
                </pic:spPr>
              </pic:pic>
            </a:graphicData>
          </a:graphic>
        </wp:anchor>
      </w:drawing>
    </w:r>
  </w:p>
  <w:p w14:paraId="376B9180" w14:textId="77777777" w:rsidR="001F5D8E" w:rsidRDefault="001F5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6621"/>
    <w:multiLevelType w:val="multilevel"/>
    <w:tmpl w:val="BF6E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A7A25"/>
    <w:multiLevelType w:val="hybridMultilevel"/>
    <w:tmpl w:val="01A8D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40B04"/>
    <w:multiLevelType w:val="multilevel"/>
    <w:tmpl w:val="9D3C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1951E3"/>
    <w:multiLevelType w:val="multilevel"/>
    <w:tmpl w:val="7D2A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0772647">
    <w:abstractNumId w:val="3"/>
  </w:num>
  <w:num w:numId="2" w16cid:durableId="581766474">
    <w:abstractNumId w:val="2"/>
  </w:num>
  <w:num w:numId="3" w16cid:durableId="186408123">
    <w:abstractNumId w:val="0"/>
  </w:num>
  <w:num w:numId="4" w16cid:durableId="186155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B3ED0"/>
    <w:rsid w:val="00007129"/>
    <w:rsid w:val="000074BC"/>
    <w:rsid w:val="00013ED4"/>
    <w:rsid w:val="00016CA1"/>
    <w:rsid w:val="00022741"/>
    <w:rsid w:val="000245A7"/>
    <w:rsid w:val="000425FF"/>
    <w:rsid w:val="00045BFA"/>
    <w:rsid w:val="00046D51"/>
    <w:rsid w:val="00052A2E"/>
    <w:rsid w:val="00063734"/>
    <w:rsid w:val="00080630"/>
    <w:rsid w:val="00092918"/>
    <w:rsid w:val="00093270"/>
    <w:rsid w:val="00096831"/>
    <w:rsid w:val="000A1CEE"/>
    <w:rsid w:val="000B6B67"/>
    <w:rsid w:val="000C3538"/>
    <w:rsid w:val="000C7E8E"/>
    <w:rsid w:val="000D48E8"/>
    <w:rsid w:val="000E5AF6"/>
    <w:rsid w:val="000F11E8"/>
    <w:rsid w:val="00103FC9"/>
    <w:rsid w:val="00120041"/>
    <w:rsid w:val="00121010"/>
    <w:rsid w:val="001410F8"/>
    <w:rsid w:val="00154EB7"/>
    <w:rsid w:val="00156090"/>
    <w:rsid w:val="00160E41"/>
    <w:rsid w:val="00164F15"/>
    <w:rsid w:val="001764F6"/>
    <w:rsid w:val="00176AB5"/>
    <w:rsid w:val="0018081F"/>
    <w:rsid w:val="00180A5F"/>
    <w:rsid w:val="0019259D"/>
    <w:rsid w:val="001B0240"/>
    <w:rsid w:val="001B2D1A"/>
    <w:rsid w:val="001B2D27"/>
    <w:rsid w:val="001C0540"/>
    <w:rsid w:val="001F1180"/>
    <w:rsid w:val="001F5D8E"/>
    <w:rsid w:val="00203472"/>
    <w:rsid w:val="0020691E"/>
    <w:rsid w:val="0021263C"/>
    <w:rsid w:val="00242099"/>
    <w:rsid w:val="00254B20"/>
    <w:rsid w:val="00257B1D"/>
    <w:rsid w:val="0026135A"/>
    <w:rsid w:val="00261E1D"/>
    <w:rsid w:val="00262066"/>
    <w:rsid w:val="002A08E1"/>
    <w:rsid w:val="002B424B"/>
    <w:rsid w:val="002C716D"/>
    <w:rsid w:val="002C7D9C"/>
    <w:rsid w:val="002E6A72"/>
    <w:rsid w:val="002F53C2"/>
    <w:rsid w:val="002F71B3"/>
    <w:rsid w:val="0030331C"/>
    <w:rsid w:val="003069D9"/>
    <w:rsid w:val="00335F72"/>
    <w:rsid w:val="003363C6"/>
    <w:rsid w:val="00342859"/>
    <w:rsid w:val="00356FF2"/>
    <w:rsid w:val="00360B69"/>
    <w:rsid w:val="00391C7D"/>
    <w:rsid w:val="00392EED"/>
    <w:rsid w:val="003969BA"/>
    <w:rsid w:val="003972BB"/>
    <w:rsid w:val="003A63D2"/>
    <w:rsid w:val="003B3CCB"/>
    <w:rsid w:val="003B778B"/>
    <w:rsid w:val="003C165D"/>
    <w:rsid w:val="003C2439"/>
    <w:rsid w:val="003D2D3A"/>
    <w:rsid w:val="003E4B55"/>
    <w:rsid w:val="003F1B53"/>
    <w:rsid w:val="003F56CB"/>
    <w:rsid w:val="003F62CC"/>
    <w:rsid w:val="003F738B"/>
    <w:rsid w:val="004017AE"/>
    <w:rsid w:val="0042699F"/>
    <w:rsid w:val="0044239B"/>
    <w:rsid w:val="00447233"/>
    <w:rsid w:val="00453FD0"/>
    <w:rsid w:val="0045767C"/>
    <w:rsid w:val="00460EBB"/>
    <w:rsid w:val="00465833"/>
    <w:rsid w:val="0047027E"/>
    <w:rsid w:val="00470CA1"/>
    <w:rsid w:val="00471C1F"/>
    <w:rsid w:val="00484CA3"/>
    <w:rsid w:val="00486A37"/>
    <w:rsid w:val="00486AD4"/>
    <w:rsid w:val="004A1C01"/>
    <w:rsid w:val="004A633A"/>
    <w:rsid w:val="004B0DBB"/>
    <w:rsid w:val="004B5409"/>
    <w:rsid w:val="004C25D4"/>
    <w:rsid w:val="004E404E"/>
    <w:rsid w:val="004F636E"/>
    <w:rsid w:val="00500FDD"/>
    <w:rsid w:val="00504088"/>
    <w:rsid w:val="005051E1"/>
    <w:rsid w:val="005053E0"/>
    <w:rsid w:val="00516F06"/>
    <w:rsid w:val="00523214"/>
    <w:rsid w:val="00533877"/>
    <w:rsid w:val="00536192"/>
    <w:rsid w:val="00571AC0"/>
    <w:rsid w:val="00583BBD"/>
    <w:rsid w:val="005908DC"/>
    <w:rsid w:val="005B072A"/>
    <w:rsid w:val="005B6CFD"/>
    <w:rsid w:val="005C70C2"/>
    <w:rsid w:val="005D1657"/>
    <w:rsid w:val="005D1C7C"/>
    <w:rsid w:val="005D1CBE"/>
    <w:rsid w:val="005E61DE"/>
    <w:rsid w:val="005E6443"/>
    <w:rsid w:val="005F0BBC"/>
    <w:rsid w:val="005F6B15"/>
    <w:rsid w:val="006000C1"/>
    <w:rsid w:val="0060566C"/>
    <w:rsid w:val="00611242"/>
    <w:rsid w:val="006521F0"/>
    <w:rsid w:val="006529B6"/>
    <w:rsid w:val="00660418"/>
    <w:rsid w:val="00675F81"/>
    <w:rsid w:val="0067628A"/>
    <w:rsid w:val="00682E43"/>
    <w:rsid w:val="006843E0"/>
    <w:rsid w:val="0068704F"/>
    <w:rsid w:val="006A4F4F"/>
    <w:rsid w:val="006B003B"/>
    <w:rsid w:val="006B7E57"/>
    <w:rsid w:val="006C139F"/>
    <w:rsid w:val="006C1C5F"/>
    <w:rsid w:val="006D3948"/>
    <w:rsid w:val="006E1AA3"/>
    <w:rsid w:val="006E7D8A"/>
    <w:rsid w:val="006F0CA3"/>
    <w:rsid w:val="00705B38"/>
    <w:rsid w:val="00707B22"/>
    <w:rsid w:val="007105D1"/>
    <w:rsid w:val="0071093D"/>
    <w:rsid w:val="00712A64"/>
    <w:rsid w:val="007135E3"/>
    <w:rsid w:val="00713B8F"/>
    <w:rsid w:val="00716E69"/>
    <w:rsid w:val="0073142F"/>
    <w:rsid w:val="007401C9"/>
    <w:rsid w:val="00745D42"/>
    <w:rsid w:val="007464E0"/>
    <w:rsid w:val="007673A4"/>
    <w:rsid w:val="0077338D"/>
    <w:rsid w:val="00790954"/>
    <w:rsid w:val="00791CC2"/>
    <w:rsid w:val="007B16D1"/>
    <w:rsid w:val="007B5767"/>
    <w:rsid w:val="007C5CE7"/>
    <w:rsid w:val="007C6775"/>
    <w:rsid w:val="007D24C0"/>
    <w:rsid w:val="007D7080"/>
    <w:rsid w:val="007D78B9"/>
    <w:rsid w:val="007E0AD1"/>
    <w:rsid w:val="007E29E4"/>
    <w:rsid w:val="007E311B"/>
    <w:rsid w:val="007E42C5"/>
    <w:rsid w:val="007F31CD"/>
    <w:rsid w:val="0080174D"/>
    <w:rsid w:val="00820EE6"/>
    <w:rsid w:val="008275D3"/>
    <w:rsid w:val="00837739"/>
    <w:rsid w:val="008418F3"/>
    <w:rsid w:val="008612F4"/>
    <w:rsid w:val="0087100C"/>
    <w:rsid w:val="008712C5"/>
    <w:rsid w:val="0087607E"/>
    <w:rsid w:val="00880B3C"/>
    <w:rsid w:val="008854CF"/>
    <w:rsid w:val="0089397A"/>
    <w:rsid w:val="008D71A5"/>
    <w:rsid w:val="008E2413"/>
    <w:rsid w:val="008E4749"/>
    <w:rsid w:val="008F3321"/>
    <w:rsid w:val="008F7928"/>
    <w:rsid w:val="00906208"/>
    <w:rsid w:val="009144ED"/>
    <w:rsid w:val="00925B23"/>
    <w:rsid w:val="009301E5"/>
    <w:rsid w:val="009500E4"/>
    <w:rsid w:val="009623B8"/>
    <w:rsid w:val="0097242C"/>
    <w:rsid w:val="009B2D61"/>
    <w:rsid w:val="009C4795"/>
    <w:rsid w:val="009C5774"/>
    <w:rsid w:val="009D1C21"/>
    <w:rsid w:val="009D3A28"/>
    <w:rsid w:val="009D5258"/>
    <w:rsid w:val="009E45C6"/>
    <w:rsid w:val="009F015B"/>
    <w:rsid w:val="00A01CF6"/>
    <w:rsid w:val="00A146C4"/>
    <w:rsid w:val="00A20A4C"/>
    <w:rsid w:val="00A35459"/>
    <w:rsid w:val="00A37994"/>
    <w:rsid w:val="00A53FEE"/>
    <w:rsid w:val="00A61237"/>
    <w:rsid w:val="00A74F64"/>
    <w:rsid w:val="00A80304"/>
    <w:rsid w:val="00A8158A"/>
    <w:rsid w:val="00A81A5F"/>
    <w:rsid w:val="00A854D6"/>
    <w:rsid w:val="00AA1E92"/>
    <w:rsid w:val="00AB3ED0"/>
    <w:rsid w:val="00AE5C45"/>
    <w:rsid w:val="00AF23E1"/>
    <w:rsid w:val="00B03862"/>
    <w:rsid w:val="00B04A1F"/>
    <w:rsid w:val="00B14C1C"/>
    <w:rsid w:val="00B35385"/>
    <w:rsid w:val="00B570D7"/>
    <w:rsid w:val="00B71CEB"/>
    <w:rsid w:val="00B74FE5"/>
    <w:rsid w:val="00B87313"/>
    <w:rsid w:val="00B959F2"/>
    <w:rsid w:val="00B968F2"/>
    <w:rsid w:val="00BA3CD8"/>
    <w:rsid w:val="00BA5960"/>
    <w:rsid w:val="00BB466F"/>
    <w:rsid w:val="00BC0679"/>
    <w:rsid w:val="00BD0A4B"/>
    <w:rsid w:val="00BD4E4A"/>
    <w:rsid w:val="00BE1CF4"/>
    <w:rsid w:val="00C02424"/>
    <w:rsid w:val="00C14569"/>
    <w:rsid w:val="00C152C0"/>
    <w:rsid w:val="00C20831"/>
    <w:rsid w:val="00C22ADB"/>
    <w:rsid w:val="00C44924"/>
    <w:rsid w:val="00C52CE7"/>
    <w:rsid w:val="00C55D8F"/>
    <w:rsid w:val="00C636A8"/>
    <w:rsid w:val="00C72BCA"/>
    <w:rsid w:val="00CA646A"/>
    <w:rsid w:val="00CC0387"/>
    <w:rsid w:val="00CC0697"/>
    <w:rsid w:val="00CD1AAE"/>
    <w:rsid w:val="00CD322E"/>
    <w:rsid w:val="00CD69F8"/>
    <w:rsid w:val="00D062FF"/>
    <w:rsid w:val="00D26DF1"/>
    <w:rsid w:val="00D44EE7"/>
    <w:rsid w:val="00D60F30"/>
    <w:rsid w:val="00D673A7"/>
    <w:rsid w:val="00D85AFE"/>
    <w:rsid w:val="00D9055D"/>
    <w:rsid w:val="00D94FA7"/>
    <w:rsid w:val="00DA0EA5"/>
    <w:rsid w:val="00DB1884"/>
    <w:rsid w:val="00DB6D51"/>
    <w:rsid w:val="00DC3CFA"/>
    <w:rsid w:val="00DE0601"/>
    <w:rsid w:val="00DE0A25"/>
    <w:rsid w:val="00DE652D"/>
    <w:rsid w:val="00DF1745"/>
    <w:rsid w:val="00E13A9E"/>
    <w:rsid w:val="00E1597C"/>
    <w:rsid w:val="00E16841"/>
    <w:rsid w:val="00E263E4"/>
    <w:rsid w:val="00E26FE4"/>
    <w:rsid w:val="00E3522B"/>
    <w:rsid w:val="00E51E3A"/>
    <w:rsid w:val="00E522E1"/>
    <w:rsid w:val="00E748B7"/>
    <w:rsid w:val="00E80845"/>
    <w:rsid w:val="00E836D6"/>
    <w:rsid w:val="00E85D61"/>
    <w:rsid w:val="00E87951"/>
    <w:rsid w:val="00E93CFC"/>
    <w:rsid w:val="00E94FD2"/>
    <w:rsid w:val="00E95499"/>
    <w:rsid w:val="00E95FD7"/>
    <w:rsid w:val="00EA29B9"/>
    <w:rsid w:val="00EA363D"/>
    <w:rsid w:val="00EA678B"/>
    <w:rsid w:val="00EB2067"/>
    <w:rsid w:val="00EB74B7"/>
    <w:rsid w:val="00EC1409"/>
    <w:rsid w:val="00EE69A9"/>
    <w:rsid w:val="00EF3400"/>
    <w:rsid w:val="00EF7A18"/>
    <w:rsid w:val="00F10411"/>
    <w:rsid w:val="00F11F27"/>
    <w:rsid w:val="00F14CC0"/>
    <w:rsid w:val="00F22256"/>
    <w:rsid w:val="00F26C3A"/>
    <w:rsid w:val="00F33663"/>
    <w:rsid w:val="00F33BA7"/>
    <w:rsid w:val="00F65F3E"/>
    <w:rsid w:val="00F70952"/>
    <w:rsid w:val="00F71186"/>
    <w:rsid w:val="00F808ED"/>
    <w:rsid w:val="00F9129B"/>
    <w:rsid w:val="00F95B8E"/>
    <w:rsid w:val="00FB621F"/>
    <w:rsid w:val="00FC16F6"/>
    <w:rsid w:val="00FC27CE"/>
    <w:rsid w:val="00FD4E53"/>
    <w:rsid w:val="00FF055E"/>
    <w:rsid w:val="00FF7B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777B"/>
  <w15:docId w15:val="{0F60CDF6-1AB8-4431-B455-AC7AE58B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EBB"/>
  </w:style>
  <w:style w:type="paragraph" w:styleId="Heading1">
    <w:name w:val="heading 1"/>
    <w:basedOn w:val="Normal"/>
    <w:next w:val="Normal"/>
    <w:link w:val="Heading1Char"/>
    <w:uiPriority w:val="9"/>
    <w:qFormat/>
    <w:rsid w:val="005B072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44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301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01E5"/>
    <w:rPr>
      <w:rFonts w:ascii="Times New Roman" w:eastAsia="Times New Roman" w:hAnsi="Times New Roman" w:cs="Times New Roman"/>
      <w:b/>
      <w:bCs/>
      <w:sz w:val="27"/>
      <w:szCs w:val="27"/>
    </w:rPr>
  </w:style>
  <w:style w:type="paragraph" w:styleId="NormalWeb">
    <w:name w:val="Normal (Web)"/>
    <w:basedOn w:val="Normal"/>
    <w:uiPriority w:val="99"/>
    <w:unhideWhenUsed/>
    <w:rsid w:val="009301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01E5"/>
    <w:rPr>
      <w:b/>
      <w:bCs/>
    </w:rPr>
  </w:style>
  <w:style w:type="character" w:customStyle="1" w:styleId="Heading2Char">
    <w:name w:val="Heading 2 Char"/>
    <w:basedOn w:val="DefaultParagraphFont"/>
    <w:link w:val="Heading2"/>
    <w:uiPriority w:val="9"/>
    <w:rsid w:val="009144ED"/>
    <w:rPr>
      <w:rFonts w:asciiTheme="majorHAnsi" w:eastAsiaTheme="majorEastAsia" w:hAnsiTheme="majorHAnsi" w:cstheme="majorBidi"/>
      <w:color w:val="365F91" w:themeColor="accent1" w:themeShade="BF"/>
      <w:sz w:val="26"/>
      <w:szCs w:val="26"/>
    </w:rPr>
  </w:style>
  <w:style w:type="character" w:customStyle="1" w:styleId="photographer">
    <w:name w:val="photographer"/>
    <w:basedOn w:val="DefaultParagraphFont"/>
    <w:rsid w:val="009144ED"/>
  </w:style>
  <w:style w:type="character" w:styleId="Emphasis">
    <w:name w:val="Emphasis"/>
    <w:basedOn w:val="DefaultParagraphFont"/>
    <w:uiPriority w:val="20"/>
    <w:qFormat/>
    <w:rsid w:val="001410F8"/>
    <w:rPr>
      <w:i/>
      <w:iCs/>
    </w:rPr>
  </w:style>
  <w:style w:type="character" w:customStyle="1" w:styleId="Heading1Char">
    <w:name w:val="Heading 1 Char"/>
    <w:basedOn w:val="DefaultParagraphFont"/>
    <w:link w:val="Heading1"/>
    <w:uiPriority w:val="9"/>
    <w:rsid w:val="005B072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B072A"/>
    <w:rPr>
      <w:color w:val="0000FF" w:themeColor="hyperlink"/>
      <w:u w:val="single"/>
    </w:rPr>
  </w:style>
  <w:style w:type="paragraph" w:customStyle="1" w:styleId="textsummary">
    <w:name w:val="text__summary"/>
    <w:basedOn w:val="Normal"/>
    <w:rsid w:val="00BA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nr-textreference">
    <w:name w:val="knr-text__reference"/>
    <w:basedOn w:val="Normal"/>
    <w:rsid w:val="00BA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9259D"/>
    <w:pPr>
      <w:autoSpaceDE w:val="0"/>
      <w:autoSpaceDN w:val="0"/>
      <w:adjustRightInd w:val="0"/>
      <w:spacing w:after="0" w:line="240" w:lineRule="auto"/>
    </w:pPr>
    <w:rPr>
      <w:rFonts w:ascii="Tahoma" w:hAnsi="Tahoma" w:cs="Tahoma"/>
      <w:color w:val="000000"/>
      <w:sz w:val="24"/>
      <w:szCs w:val="24"/>
    </w:rPr>
  </w:style>
  <w:style w:type="character" w:styleId="UnresolvedMention">
    <w:name w:val="Unresolved Mention"/>
    <w:basedOn w:val="DefaultParagraphFont"/>
    <w:uiPriority w:val="99"/>
    <w:semiHidden/>
    <w:unhideWhenUsed/>
    <w:rsid w:val="00016CA1"/>
    <w:rPr>
      <w:color w:val="605E5C"/>
      <w:shd w:val="clear" w:color="auto" w:fill="E1DFDD"/>
    </w:rPr>
  </w:style>
  <w:style w:type="paragraph" w:styleId="ListParagraph">
    <w:name w:val="List Paragraph"/>
    <w:basedOn w:val="Normal"/>
    <w:uiPriority w:val="34"/>
    <w:qFormat/>
    <w:rsid w:val="008E2413"/>
    <w:pPr>
      <w:ind w:left="720"/>
      <w:contextualSpacing/>
    </w:pPr>
  </w:style>
  <w:style w:type="character" w:styleId="SubtleEmphasis">
    <w:name w:val="Subtle Emphasis"/>
    <w:basedOn w:val="DefaultParagraphFont"/>
    <w:uiPriority w:val="19"/>
    <w:qFormat/>
    <w:rsid w:val="00CD1AAE"/>
    <w:rPr>
      <w:i/>
      <w:iCs/>
      <w:color w:val="404040" w:themeColor="text1" w:themeTint="BF"/>
    </w:rPr>
  </w:style>
  <w:style w:type="paragraph" w:styleId="Header">
    <w:name w:val="header"/>
    <w:basedOn w:val="Normal"/>
    <w:link w:val="HeaderChar"/>
    <w:uiPriority w:val="99"/>
    <w:unhideWhenUsed/>
    <w:rsid w:val="001F5D8E"/>
    <w:pPr>
      <w:tabs>
        <w:tab w:val="center" w:pos="4986"/>
        <w:tab w:val="right" w:pos="9972"/>
      </w:tabs>
      <w:spacing w:after="0" w:line="240" w:lineRule="auto"/>
    </w:pPr>
  </w:style>
  <w:style w:type="character" w:customStyle="1" w:styleId="HeaderChar">
    <w:name w:val="Header Char"/>
    <w:basedOn w:val="DefaultParagraphFont"/>
    <w:link w:val="Header"/>
    <w:uiPriority w:val="99"/>
    <w:rsid w:val="001F5D8E"/>
  </w:style>
  <w:style w:type="paragraph" w:styleId="Footer">
    <w:name w:val="footer"/>
    <w:basedOn w:val="Normal"/>
    <w:link w:val="FooterChar"/>
    <w:uiPriority w:val="99"/>
    <w:unhideWhenUsed/>
    <w:rsid w:val="001F5D8E"/>
    <w:pPr>
      <w:tabs>
        <w:tab w:val="center" w:pos="4986"/>
        <w:tab w:val="right" w:pos="9972"/>
      </w:tabs>
      <w:spacing w:after="0" w:line="240" w:lineRule="auto"/>
    </w:pPr>
  </w:style>
  <w:style w:type="character" w:customStyle="1" w:styleId="FooterChar">
    <w:name w:val="Footer Char"/>
    <w:basedOn w:val="DefaultParagraphFont"/>
    <w:link w:val="Footer"/>
    <w:uiPriority w:val="99"/>
    <w:rsid w:val="001F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66754">
      <w:bodyDiv w:val="1"/>
      <w:marLeft w:val="0"/>
      <w:marRight w:val="0"/>
      <w:marTop w:val="0"/>
      <w:marBottom w:val="0"/>
      <w:divBdr>
        <w:top w:val="none" w:sz="0" w:space="0" w:color="auto"/>
        <w:left w:val="none" w:sz="0" w:space="0" w:color="auto"/>
        <w:bottom w:val="none" w:sz="0" w:space="0" w:color="auto"/>
        <w:right w:val="none" w:sz="0" w:space="0" w:color="auto"/>
      </w:divBdr>
    </w:div>
    <w:div w:id="924336255">
      <w:bodyDiv w:val="1"/>
      <w:marLeft w:val="0"/>
      <w:marRight w:val="0"/>
      <w:marTop w:val="0"/>
      <w:marBottom w:val="0"/>
      <w:divBdr>
        <w:top w:val="none" w:sz="0" w:space="0" w:color="auto"/>
        <w:left w:val="none" w:sz="0" w:space="0" w:color="auto"/>
        <w:bottom w:val="none" w:sz="0" w:space="0" w:color="auto"/>
        <w:right w:val="none" w:sz="0" w:space="0" w:color="auto"/>
      </w:divBdr>
    </w:div>
    <w:div w:id="945892550">
      <w:bodyDiv w:val="1"/>
      <w:marLeft w:val="0"/>
      <w:marRight w:val="0"/>
      <w:marTop w:val="0"/>
      <w:marBottom w:val="0"/>
      <w:divBdr>
        <w:top w:val="none" w:sz="0" w:space="0" w:color="auto"/>
        <w:left w:val="none" w:sz="0" w:space="0" w:color="auto"/>
        <w:bottom w:val="none" w:sz="0" w:space="0" w:color="auto"/>
        <w:right w:val="none" w:sz="0" w:space="0" w:color="auto"/>
      </w:divBdr>
    </w:div>
    <w:div w:id="1011563683">
      <w:bodyDiv w:val="1"/>
      <w:marLeft w:val="0"/>
      <w:marRight w:val="0"/>
      <w:marTop w:val="0"/>
      <w:marBottom w:val="0"/>
      <w:divBdr>
        <w:top w:val="none" w:sz="0" w:space="0" w:color="auto"/>
        <w:left w:val="none" w:sz="0" w:space="0" w:color="auto"/>
        <w:bottom w:val="none" w:sz="0" w:space="0" w:color="auto"/>
        <w:right w:val="none" w:sz="0" w:space="0" w:color="auto"/>
      </w:divBdr>
    </w:div>
    <w:div w:id="1063210774">
      <w:bodyDiv w:val="1"/>
      <w:marLeft w:val="0"/>
      <w:marRight w:val="0"/>
      <w:marTop w:val="0"/>
      <w:marBottom w:val="0"/>
      <w:divBdr>
        <w:top w:val="none" w:sz="0" w:space="0" w:color="auto"/>
        <w:left w:val="none" w:sz="0" w:space="0" w:color="auto"/>
        <w:bottom w:val="none" w:sz="0" w:space="0" w:color="auto"/>
        <w:right w:val="none" w:sz="0" w:space="0" w:color="auto"/>
      </w:divBdr>
      <w:divsChild>
        <w:div w:id="827552297">
          <w:marLeft w:val="0"/>
          <w:marRight w:val="0"/>
          <w:marTop w:val="0"/>
          <w:marBottom w:val="0"/>
          <w:divBdr>
            <w:top w:val="none" w:sz="0" w:space="0" w:color="auto"/>
            <w:left w:val="none" w:sz="0" w:space="0" w:color="auto"/>
            <w:bottom w:val="none" w:sz="0" w:space="0" w:color="auto"/>
            <w:right w:val="none" w:sz="0" w:space="0" w:color="auto"/>
          </w:divBdr>
          <w:divsChild>
            <w:div w:id="1005473111">
              <w:marLeft w:val="0"/>
              <w:marRight w:val="0"/>
              <w:marTop w:val="0"/>
              <w:marBottom w:val="375"/>
              <w:divBdr>
                <w:top w:val="single" w:sz="6" w:space="8" w:color="DCDCDC"/>
                <w:left w:val="none" w:sz="0" w:space="0" w:color="auto"/>
                <w:bottom w:val="single" w:sz="6" w:space="8" w:color="DDDDDD"/>
                <w:right w:val="none" w:sz="0" w:space="0" w:color="auto"/>
              </w:divBdr>
              <w:divsChild>
                <w:div w:id="130646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2110">
          <w:marLeft w:val="0"/>
          <w:marRight w:val="0"/>
          <w:marTop w:val="0"/>
          <w:marBottom w:val="0"/>
          <w:divBdr>
            <w:top w:val="none" w:sz="0" w:space="0" w:color="auto"/>
            <w:left w:val="none" w:sz="0" w:space="0" w:color="auto"/>
            <w:bottom w:val="none" w:sz="0" w:space="0" w:color="auto"/>
            <w:right w:val="none" w:sz="0" w:space="0" w:color="auto"/>
          </w:divBdr>
          <w:divsChild>
            <w:div w:id="198014981">
              <w:marLeft w:val="0"/>
              <w:marRight w:val="0"/>
              <w:marTop w:val="0"/>
              <w:marBottom w:val="0"/>
              <w:divBdr>
                <w:top w:val="none" w:sz="0" w:space="0" w:color="auto"/>
                <w:left w:val="none" w:sz="0" w:space="0" w:color="auto"/>
                <w:bottom w:val="none" w:sz="0" w:space="0" w:color="auto"/>
                <w:right w:val="none" w:sz="0" w:space="0" w:color="auto"/>
              </w:divBdr>
              <w:divsChild>
                <w:div w:id="15277572">
                  <w:marLeft w:val="0"/>
                  <w:marRight w:val="0"/>
                  <w:marTop w:val="0"/>
                  <w:marBottom w:val="0"/>
                  <w:divBdr>
                    <w:top w:val="none" w:sz="0" w:space="0" w:color="auto"/>
                    <w:left w:val="none" w:sz="0" w:space="0" w:color="auto"/>
                    <w:bottom w:val="none" w:sz="0" w:space="0" w:color="auto"/>
                    <w:right w:val="none" w:sz="0" w:space="0" w:color="auto"/>
                  </w:divBdr>
                  <w:divsChild>
                    <w:div w:id="7247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9061">
      <w:bodyDiv w:val="1"/>
      <w:marLeft w:val="0"/>
      <w:marRight w:val="0"/>
      <w:marTop w:val="0"/>
      <w:marBottom w:val="0"/>
      <w:divBdr>
        <w:top w:val="none" w:sz="0" w:space="0" w:color="auto"/>
        <w:left w:val="none" w:sz="0" w:space="0" w:color="auto"/>
        <w:bottom w:val="none" w:sz="0" w:space="0" w:color="auto"/>
        <w:right w:val="none" w:sz="0" w:space="0" w:color="auto"/>
      </w:divBdr>
      <w:divsChild>
        <w:div w:id="879706171">
          <w:marLeft w:val="300"/>
          <w:marRight w:val="0"/>
          <w:marTop w:val="0"/>
          <w:marBottom w:val="0"/>
          <w:divBdr>
            <w:top w:val="single" w:sz="6" w:space="5" w:color="E9E9E9"/>
            <w:left w:val="none" w:sz="0" w:space="0" w:color="auto"/>
            <w:bottom w:val="single" w:sz="6" w:space="5" w:color="E9E9E9"/>
            <w:right w:val="none" w:sz="0" w:space="0" w:color="auto"/>
          </w:divBdr>
        </w:div>
        <w:div w:id="1157183831">
          <w:marLeft w:val="0"/>
          <w:marRight w:val="0"/>
          <w:marTop w:val="0"/>
          <w:marBottom w:val="0"/>
          <w:divBdr>
            <w:top w:val="none" w:sz="0" w:space="0" w:color="auto"/>
            <w:left w:val="none" w:sz="0" w:space="0" w:color="auto"/>
            <w:bottom w:val="none" w:sz="0" w:space="0" w:color="auto"/>
            <w:right w:val="none" w:sz="0" w:space="0" w:color="auto"/>
          </w:divBdr>
          <w:divsChild>
            <w:div w:id="1121456665">
              <w:marLeft w:val="0"/>
              <w:marRight w:val="0"/>
              <w:marTop w:val="0"/>
              <w:marBottom w:val="0"/>
              <w:divBdr>
                <w:top w:val="none" w:sz="0" w:space="0" w:color="auto"/>
                <w:left w:val="none" w:sz="0" w:space="0" w:color="auto"/>
                <w:bottom w:val="none" w:sz="0" w:space="0" w:color="auto"/>
                <w:right w:val="none" w:sz="0" w:space="0" w:color="auto"/>
              </w:divBdr>
              <w:divsChild>
                <w:div w:id="229463358">
                  <w:blockQuote w:val="1"/>
                  <w:marLeft w:val="720"/>
                  <w:marRight w:val="0"/>
                  <w:marTop w:val="240"/>
                  <w:marBottom w:val="240"/>
                  <w:divBdr>
                    <w:top w:val="none" w:sz="0" w:space="0" w:color="auto"/>
                    <w:left w:val="none" w:sz="0" w:space="0" w:color="auto"/>
                    <w:bottom w:val="none" w:sz="0" w:space="0" w:color="auto"/>
                    <w:right w:val="none" w:sz="0" w:space="0" w:color="auto"/>
                  </w:divBdr>
                </w:div>
                <w:div w:id="660306174">
                  <w:blockQuote w:val="1"/>
                  <w:marLeft w:val="720"/>
                  <w:marRight w:val="0"/>
                  <w:marTop w:val="240"/>
                  <w:marBottom w:val="240"/>
                  <w:divBdr>
                    <w:top w:val="none" w:sz="0" w:space="0" w:color="auto"/>
                    <w:left w:val="none" w:sz="0" w:space="0" w:color="auto"/>
                    <w:bottom w:val="none" w:sz="0" w:space="0" w:color="auto"/>
                    <w:right w:val="none" w:sz="0" w:space="0" w:color="auto"/>
                  </w:divBdr>
                </w:div>
                <w:div w:id="1175536622">
                  <w:blockQuote w:val="1"/>
                  <w:marLeft w:val="72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605452255">
      <w:bodyDiv w:val="1"/>
      <w:marLeft w:val="0"/>
      <w:marRight w:val="0"/>
      <w:marTop w:val="0"/>
      <w:marBottom w:val="0"/>
      <w:divBdr>
        <w:top w:val="none" w:sz="0" w:space="0" w:color="auto"/>
        <w:left w:val="none" w:sz="0" w:space="0" w:color="auto"/>
        <w:bottom w:val="none" w:sz="0" w:space="0" w:color="auto"/>
        <w:right w:val="none" w:sz="0" w:space="0" w:color="auto"/>
      </w:divBdr>
    </w:div>
    <w:div w:id="1888295165">
      <w:bodyDiv w:val="1"/>
      <w:marLeft w:val="0"/>
      <w:marRight w:val="0"/>
      <w:marTop w:val="0"/>
      <w:marBottom w:val="0"/>
      <w:divBdr>
        <w:top w:val="none" w:sz="0" w:space="0" w:color="auto"/>
        <w:left w:val="none" w:sz="0" w:space="0" w:color="auto"/>
        <w:bottom w:val="none" w:sz="0" w:space="0" w:color="auto"/>
        <w:right w:val="none" w:sz="0" w:space="0" w:color="auto"/>
      </w:divBdr>
    </w:div>
    <w:div w:id="2008903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uturegreenland.g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4BA7D-786B-44AC-869A-64987949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11180</TotalTime>
  <Pages>11</Pages>
  <Words>5440</Words>
  <Characters>31011</Characters>
  <Application>Microsoft Office Word</Application>
  <DocSecurity>0</DocSecurity>
  <Lines>258</Lines>
  <Paragraphs>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Keldsen</dc:creator>
  <cp:keywords/>
  <dc:description/>
  <cp:lastModifiedBy>Christian Keldsen | Grønlands Erhverv</cp:lastModifiedBy>
  <cp:revision>4</cp:revision>
  <cp:lastPrinted>2023-02-01T13:42:00Z</cp:lastPrinted>
  <dcterms:created xsi:type="dcterms:W3CDTF">2023-01-19T17:34:00Z</dcterms:created>
  <dcterms:modified xsi:type="dcterms:W3CDTF">2023-03-17T18:45:00Z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 dokumentnummer">
    <vt:lpwstr>D21-554</vt:lpwstr>
  </property>
  <property fmtid="{D5CDD505-2E9C-101B-9397-08002B2CF9AE}" pid="3" name="DN_D Modtager">
    <vt:lpwstr/>
  </property>
  <property fmtid="{D5CDD505-2E9C-101B-9397-08002B2CF9AE}" pid="4" name="DN_D Afsendelsesdato">
    <vt:lpwstr>30. januar 2021</vt:lpwstr>
  </property>
  <property fmtid="{D5CDD505-2E9C-101B-9397-08002B2CF9AE}" pid="5" name="DN_D_ Afsender navn">
    <vt:lpwstr>Erik Holmsgaard | Grønlands Erhverv</vt:lpwstr>
  </property>
  <property fmtid="{D5CDD505-2E9C-101B-9397-08002B2CF9AE}" pid="6" name="DN_D_Afsender titel">
    <vt:lpwstr/>
  </property>
  <property fmtid="{D5CDD505-2E9C-101B-9397-08002B2CF9AE}" pid="7" name="DN_D Dokument titel">
    <vt:lpwstr>Bestyrelsens beretning</vt:lpwstr>
  </property>
  <property fmtid="{D5CDD505-2E9C-101B-9397-08002B2CF9AE}" pid="8" name="DN_D_email">
    <vt:lpwstr/>
  </property>
  <property fmtid="{D5CDD505-2E9C-101B-9397-08002B2CF9AE}" pid="9" name="sagsnummer">
    <vt:lpwstr>S20-085</vt:lpwstr>
  </property>
  <property fmtid="{D5CDD505-2E9C-101B-9397-08002B2CF9AE}" pid="10" name="Sagstitel">
    <vt:lpwstr>Arbejdsdokumenter</vt:lpwstr>
  </property>
</Properties>
</file>