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413" w:rsidRDefault="00D42413" w:rsidP="00D42413">
      <w:pPr>
        <w:pStyle w:val="titel2"/>
        <w:spacing w:before="200" w:beforeAutospacing="0" w:after="200" w:afterAutospacing="0"/>
        <w:jc w:val="center"/>
        <w:rPr>
          <w:rFonts w:ascii="Questa-Regular" w:hAnsi="Questa-Regular"/>
          <w:color w:val="000000"/>
          <w:sz w:val="37"/>
          <w:szCs w:val="37"/>
        </w:rPr>
      </w:pPr>
      <w:r>
        <w:rPr>
          <w:rFonts w:ascii="Questa-Regular" w:hAnsi="Questa-Regular"/>
          <w:color w:val="000000"/>
          <w:sz w:val="37"/>
          <w:szCs w:val="37"/>
        </w:rPr>
        <w:t>Bekendtgørelse for Grønland om betaling for grænsekontrol ved indførsel af fiskevarer og levende muslinger m.m. samt biprodukter heraf og produkter fremstillet af disse biprodukter</w:t>
      </w:r>
    </w:p>
    <w:p w:rsidR="00D42413" w:rsidRDefault="00D42413" w:rsidP="00D42413">
      <w:pPr>
        <w:pStyle w:val="indledning2"/>
        <w:spacing w:before="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Fonts w:ascii="Questa-Regular" w:hAnsi="Questa-Regular"/>
          <w:color w:val="000000"/>
          <w:sz w:val="23"/>
          <w:szCs w:val="23"/>
        </w:rPr>
        <w:t>I medfør af § 53, stk. 2, i anordning nr. 523 af 8. juni 2004 om ikrafttræden for Grønland af lov om fødevarer m.m.</w:t>
      </w:r>
      <w:r w:rsidR="00106F33">
        <w:rPr>
          <w:rFonts w:ascii="Questa-Regular" w:hAnsi="Questa-Regular"/>
          <w:color w:val="000000"/>
          <w:sz w:val="23"/>
          <w:szCs w:val="23"/>
        </w:rPr>
        <w:t>,</w:t>
      </w:r>
      <w:r>
        <w:rPr>
          <w:rFonts w:ascii="Questa-Regular" w:hAnsi="Questa-Regular"/>
          <w:color w:val="000000"/>
          <w:sz w:val="23"/>
          <w:szCs w:val="23"/>
        </w:rPr>
        <w:t xml:space="preserve"> og § 33, stk. 2, i anordning nr. 524 af 8. juni 2004 om ikrafttræden for Grønland af lov om sygdomme og infektioner hos dyr</w:t>
      </w:r>
      <w:r w:rsidR="00106F33">
        <w:rPr>
          <w:rFonts w:ascii="Questa-Regular" w:hAnsi="Questa-Regular"/>
          <w:color w:val="000000"/>
          <w:sz w:val="23"/>
          <w:szCs w:val="23"/>
        </w:rPr>
        <w:t xml:space="preserve">, </w:t>
      </w:r>
      <w:r>
        <w:rPr>
          <w:rFonts w:ascii="Questa-Regular" w:hAnsi="Questa-Regular"/>
          <w:color w:val="000000"/>
          <w:sz w:val="23"/>
          <w:szCs w:val="23"/>
        </w:rPr>
        <w:t>fastsættes efter bemyndigelse i henhold til § 3, stk. 1 og 2, i bekendtgørelse nr. 1005 af 25. august 2017 om Fødevarestyrelsens og Grønlands Selvstyres opgaver og beføjelser i Grønland på den del af fødevare- og veterinærområdet, der administreres af miljø- og fødevareministeren: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1.</w:t>
      </w:r>
      <w:r>
        <w:rPr>
          <w:rFonts w:ascii="Questa-Regular" w:hAnsi="Questa-Regular"/>
          <w:color w:val="000000"/>
          <w:sz w:val="23"/>
          <w:szCs w:val="23"/>
        </w:rPr>
        <w:t> Denne bekendtgørelse omhandler betaling for grænsekontrol af fiskevarer og levende muslinger m.m. samt biprodukter heraf og produkter fremstillet af disse biprodukter, der indføres, transiteres eller omlades fra et tredjeland.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2.</w:t>
      </w:r>
      <w:r>
        <w:rPr>
          <w:rFonts w:ascii="Questa-Regular" w:hAnsi="Questa-Regular"/>
          <w:color w:val="000000"/>
          <w:sz w:val="23"/>
          <w:szCs w:val="23"/>
        </w:rPr>
        <w:t> I denne bekendtgørelse forstås ved:</w:t>
      </w:r>
    </w:p>
    <w:p w:rsidR="00D42413" w:rsidRDefault="00D42413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1nr"/>
          <w:rFonts w:ascii="Questa-Regular" w:hAnsi="Questa-Regular"/>
          <w:color w:val="000000"/>
          <w:sz w:val="23"/>
          <w:szCs w:val="23"/>
        </w:rPr>
        <w:t>1)</w:t>
      </w:r>
      <w:r>
        <w:rPr>
          <w:rFonts w:ascii="Questa-Regular" w:hAnsi="Questa-Regular"/>
          <w:color w:val="000000"/>
          <w:sz w:val="23"/>
          <w:szCs w:val="23"/>
        </w:rPr>
        <w:t> Fiskevarer: Alle saltvands- og ferskvandsdyr (bortset fra levende muslinger m.m. samt alle pattedyr, krybdyr og frøer), hvad enten de er vildtlevende eller opdrættede samt alle spiselige former, dele og produkter af disse dyr.</w:t>
      </w:r>
    </w:p>
    <w:p w:rsidR="00D42413" w:rsidRDefault="00D42413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1nr"/>
          <w:rFonts w:ascii="Questa-Regular" w:hAnsi="Questa-Regular"/>
          <w:color w:val="000000"/>
          <w:sz w:val="23"/>
          <w:szCs w:val="23"/>
        </w:rPr>
        <w:t>2)</w:t>
      </w:r>
      <w:r>
        <w:rPr>
          <w:rFonts w:ascii="Questa-Regular" w:hAnsi="Questa-Regular"/>
          <w:color w:val="000000"/>
          <w:sz w:val="23"/>
          <w:szCs w:val="23"/>
        </w:rPr>
        <w:t xml:space="preserve"> Muslinger m.m.: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Toskallede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bløddyr, pighuder, sækdyr og havsnegle.</w:t>
      </w:r>
    </w:p>
    <w:p w:rsidR="00D42413" w:rsidRDefault="00D42413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1nr"/>
          <w:rFonts w:ascii="Questa-Regular" w:hAnsi="Questa-Regular"/>
          <w:color w:val="000000"/>
          <w:sz w:val="23"/>
          <w:szCs w:val="23"/>
        </w:rPr>
        <w:t>3)</w:t>
      </w:r>
      <w:r>
        <w:rPr>
          <w:rFonts w:ascii="Questa-Regular" w:hAnsi="Questa-Regular"/>
          <w:color w:val="000000"/>
          <w:sz w:val="23"/>
          <w:szCs w:val="23"/>
        </w:rPr>
        <w:t> 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Toskallede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bløddyr: Bløddyr af klassen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Lamellibranchiata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>, der filtrerer føden, inden den optages.</w:t>
      </w:r>
    </w:p>
    <w:p w:rsidR="00D42413" w:rsidRDefault="00D42413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1nr"/>
          <w:rFonts w:ascii="Questa-Regular" w:hAnsi="Questa-Regular"/>
          <w:color w:val="000000"/>
          <w:sz w:val="23"/>
          <w:szCs w:val="23"/>
        </w:rPr>
        <w:t>4)</w:t>
      </w:r>
      <w:r>
        <w:rPr>
          <w:rFonts w:ascii="Questa-Regular" w:hAnsi="Questa-Regular"/>
          <w:color w:val="000000"/>
          <w:sz w:val="23"/>
          <w:szCs w:val="23"/>
        </w:rPr>
        <w:t> Samhandelsland: Et EU-land, Grønland, Norge, Island, Liechtenstein, Andorra, Færøerne og Schweiz. Disse lande tilsammen betegnes samhandelsområdet. Følgende områder er dog ikke med i samhandelsområdet:</w:t>
      </w:r>
    </w:p>
    <w:p w:rsidR="00D42413" w:rsidRDefault="00D42413" w:rsidP="00D42413">
      <w:pPr>
        <w:pStyle w:val="liste2"/>
        <w:spacing w:before="0" w:beforeAutospacing="0" w:after="0" w:afterAutospacing="0"/>
        <w:ind w:left="56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2nr"/>
          <w:rFonts w:ascii="Questa-Regular" w:hAnsi="Questa-Regular"/>
          <w:color w:val="000000"/>
          <w:sz w:val="23"/>
          <w:szCs w:val="23"/>
        </w:rPr>
        <w:t>a)</w:t>
      </w:r>
      <w:r>
        <w:rPr>
          <w:rFonts w:ascii="Questa-Regular" w:hAnsi="Questa-Regular"/>
          <w:color w:val="000000"/>
          <w:sz w:val="23"/>
          <w:szCs w:val="23"/>
        </w:rPr>
        <w:t> 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Ceuta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og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Melilla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i Kongeriget Spanien.</w:t>
      </w:r>
    </w:p>
    <w:p w:rsidR="00D42413" w:rsidRDefault="00D42413" w:rsidP="00D42413">
      <w:pPr>
        <w:pStyle w:val="liste2"/>
        <w:spacing w:before="0" w:beforeAutospacing="0" w:after="0" w:afterAutospacing="0"/>
        <w:ind w:left="56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2nr"/>
          <w:rFonts w:ascii="Questa-Regular" w:hAnsi="Questa-Regular"/>
          <w:color w:val="000000"/>
          <w:sz w:val="23"/>
          <w:szCs w:val="23"/>
        </w:rPr>
        <w:t>b)</w:t>
      </w:r>
      <w:r>
        <w:rPr>
          <w:rFonts w:ascii="Questa-Regular" w:hAnsi="Questa-Regular"/>
          <w:color w:val="000000"/>
          <w:sz w:val="23"/>
          <w:szCs w:val="23"/>
        </w:rPr>
        <w:t> Oversøiske territorier og departementer i Republikken Frankrig.</w:t>
      </w:r>
    </w:p>
    <w:p w:rsidR="00D42413" w:rsidRDefault="00D42413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</w:rPr>
      </w:pPr>
      <w:r>
        <w:rPr>
          <w:rStyle w:val="liste1nr"/>
          <w:rFonts w:ascii="Questa-Regular" w:hAnsi="Questa-Regular"/>
          <w:color w:val="000000"/>
          <w:sz w:val="23"/>
          <w:szCs w:val="23"/>
        </w:rPr>
        <w:t>5)</w:t>
      </w:r>
      <w:r>
        <w:rPr>
          <w:rFonts w:ascii="Questa-Regular" w:hAnsi="Questa-Regular"/>
          <w:color w:val="000000"/>
          <w:sz w:val="23"/>
          <w:szCs w:val="23"/>
        </w:rPr>
        <w:t> Tredjelande: Lande uden for samhandelsområdet.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3.</w:t>
      </w:r>
      <w:r>
        <w:rPr>
          <w:rFonts w:ascii="Questa-Regular" w:hAnsi="Questa-Regular"/>
          <w:color w:val="000000"/>
          <w:sz w:val="23"/>
          <w:szCs w:val="23"/>
        </w:rPr>
        <w:t xml:space="preserve"> For grænsekontrol ved indførsel af fiskevarer og levende muslinger m.m. til konsum fra tredjelande betales en kontrolafgift på </w:t>
      </w:r>
      <w:r w:rsidR="00280610">
        <w:rPr>
          <w:rFonts w:ascii="Questa-Regular" w:hAnsi="Questa-Regular"/>
          <w:color w:val="000000"/>
          <w:sz w:val="23"/>
          <w:szCs w:val="23"/>
        </w:rPr>
        <w:t>99</w:t>
      </w:r>
      <w:r>
        <w:rPr>
          <w:rFonts w:ascii="Questa-Regular" w:hAnsi="Questa-Regular"/>
          <w:color w:val="000000"/>
          <w:sz w:val="23"/>
          <w:szCs w:val="23"/>
        </w:rPr>
        <w:t xml:space="preserve"> kr. pr. ton.</w:t>
      </w:r>
    </w:p>
    <w:p w:rsidR="00D42413" w:rsidRDefault="00D42413" w:rsidP="00D42413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stknr"/>
          <w:rFonts w:ascii="Questa-Regular" w:hAnsi="Questa-Regular"/>
          <w:i/>
          <w:iCs/>
          <w:color w:val="000000"/>
          <w:sz w:val="23"/>
          <w:szCs w:val="23"/>
        </w:rPr>
        <w:t>Stk. 2.</w:t>
      </w:r>
      <w:r>
        <w:rPr>
          <w:rFonts w:ascii="Questa-Regular" w:hAnsi="Questa-Regular"/>
          <w:color w:val="000000"/>
          <w:sz w:val="23"/>
          <w:szCs w:val="23"/>
        </w:rPr>
        <w:t xml:space="preserve"> Når de af stk. 1 omfattede fiskevarer og levende muslinger m.m. indføres i container, betales dog kun en kontrolafgift på </w:t>
      </w:r>
      <w:r w:rsidR="00280610">
        <w:rPr>
          <w:rFonts w:ascii="Questa-Regular" w:hAnsi="Questa-Regular"/>
          <w:color w:val="000000"/>
          <w:sz w:val="23"/>
          <w:szCs w:val="23"/>
        </w:rPr>
        <w:t>25 kr.</w:t>
      </w:r>
      <w:r>
        <w:rPr>
          <w:rFonts w:ascii="Questa-Regular" w:hAnsi="Questa-Regular"/>
          <w:color w:val="000000"/>
          <w:sz w:val="23"/>
          <w:szCs w:val="23"/>
        </w:rPr>
        <w:t xml:space="preserve"> pr. ton.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4.</w:t>
      </w:r>
      <w:r>
        <w:rPr>
          <w:rFonts w:ascii="Questa-Regular" w:hAnsi="Questa-Regular"/>
          <w:color w:val="000000"/>
          <w:sz w:val="23"/>
          <w:szCs w:val="23"/>
        </w:rPr>
        <w:t xml:space="preserve"> For grænsekontrol ved indførsel af biprodukter af fiskevarer og levende muslinger m.m. og produkter fremstillet af disse biprodukter fra tredjelande betales et grundgebyr på </w:t>
      </w:r>
      <w:r w:rsidR="00280610">
        <w:rPr>
          <w:rFonts w:ascii="Questa-Regular" w:hAnsi="Questa-Regular"/>
          <w:color w:val="000000"/>
          <w:sz w:val="23"/>
          <w:szCs w:val="23"/>
        </w:rPr>
        <w:t>246</w:t>
      </w:r>
      <w:r>
        <w:rPr>
          <w:rFonts w:ascii="Questa-Regular" w:hAnsi="Questa-Regular"/>
          <w:color w:val="000000"/>
          <w:sz w:val="23"/>
          <w:szCs w:val="23"/>
        </w:rPr>
        <w:t xml:space="preserve"> kr., hvortil kommer </w:t>
      </w:r>
      <w:r w:rsidR="00280610">
        <w:rPr>
          <w:rFonts w:ascii="Questa-Regular" w:hAnsi="Questa-Regular"/>
          <w:color w:val="000000"/>
          <w:sz w:val="23"/>
          <w:szCs w:val="23"/>
        </w:rPr>
        <w:t>370</w:t>
      </w:r>
      <w:r>
        <w:rPr>
          <w:rFonts w:ascii="Questa-Regular" w:hAnsi="Questa-Regular"/>
          <w:color w:val="000000"/>
          <w:sz w:val="23"/>
          <w:szCs w:val="23"/>
        </w:rPr>
        <w:t xml:space="preserve"> kr. pr. påbegyndt kvarter.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5.</w:t>
      </w:r>
      <w:r>
        <w:rPr>
          <w:rFonts w:ascii="Questa-Regular" w:hAnsi="Questa-Regular"/>
          <w:color w:val="000000"/>
          <w:sz w:val="23"/>
          <w:szCs w:val="23"/>
        </w:rPr>
        <w:t xml:space="preserve"> For grænsekontrol ved transit eller omladning af fiskevarer og levende muslinger m.m. til konsum samt biprodukter heraf og produkter fremstillet af disse biprodukter betales et grundgebyr på </w:t>
      </w:r>
      <w:r w:rsidR="00280610">
        <w:rPr>
          <w:rFonts w:ascii="Questa-Regular" w:hAnsi="Questa-Regular"/>
          <w:color w:val="000000"/>
          <w:sz w:val="23"/>
          <w:szCs w:val="23"/>
        </w:rPr>
        <w:t>246</w:t>
      </w:r>
      <w:r>
        <w:rPr>
          <w:rFonts w:ascii="Questa-Regular" w:hAnsi="Questa-Regular"/>
          <w:color w:val="000000"/>
          <w:sz w:val="23"/>
          <w:szCs w:val="23"/>
        </w:rPr>
        <w:t xml:space="preserve"> kr., hvortil kommer </w:t>
      </w:r>
      <w:r w:rsidR="00280610">
        <w:rPr>
          <w:rFonts w:ascii="Questa-Regular" w:hAnsi="Questa-Regular"/>
          <w:color w:val="000000"/>
          <w:sz w:val="23"/>
          <w:szCs w:val="23"/>
        </w:rPr>
        <w:t>370</w:t>
      </w:r>
      <w:r>
        <w:rPr>
          <w:rFonts w:ascii="Questa-Regular" w:hAnsi="Questa-Regular"/>
          <w:color w:val="000000"/>
          <w:sz w:val="23"/>
          <w:szCs w:val="23"/>
        </w:rPr>
        <w:t xml:space="preserve"> kr. pr. påbegyndt kvarter.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6.</w:t>
      </w:r>
      <w:r>
        <w:rPr>
          <w:rFonts w:ascii="Questa-Regular" w:hAnsi="Questa-Regular"/>
          <w:color w:val="000000"/>
          <w:sz w:val="23"/>
          <w:szCs w:val="23"/>
        </w:rPr>
        <w:t xml:space="preserve"> §§ 3 og 4 finder tilsvarende anvendelse for kontrol ved tilførsel til og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fraførsel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fra toldoplag, lagre i frizoner og skibsprovianteringsvirksomheder af sådanne produkter fra tredjelande.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7.</w:t>
      </w:r>
      <w:r>
        <w:rPr>
          <w:rFonts w:ascii="Questa-Regular" w:hAnsi="Questa-Regular"/>
          <w:color w:val="000000"/>
          <w:sz w:val="23"/>
          <w:szCs w:val="23"/>
        </w:rPr>
        <w:t xml:space="preserve"> For laboratorieanalyser af partier af fiskevarer og levende muslinger m.m. samt biprodukter heraf og produkter fremstillet af disse biprodukter fra særlige lande, områder eller </w:t>
      </w:r>
      <w:r>
        <w:rPr>
          <w:rFonts w:ascii="Questa-Regular" w:hAnsi="Questa-Regular"/>
          <w:color w:val="000000"/>
          <w:sz w:val="23"/>
          <w:szCs w:val="23"/>
        </w:rPr>
        <w:lastRenderedPageBreak/>
        <w:t>virksomheder, der er påbudt i henhold til EU-regler, betales de faktiske omkostninger ved forsendelse og analyse ved et akkrediteret laboratorium.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8.</w:t>
      </w:r>
      <w:r>
        <w:rPr>
          <w:rFonts w:ascii="Questa-Regular" w:hAnsi="Questa-Regular"/>
          <w:color w:val="000000"/>
          <w:sz w:val="23"/>
          <w:szCs w:val="23"/>
        </w:rPr>
        <w:t> For grænsekontrol, der ikke kan gennemføres på grund af rekvirentens forhold, betales et beløb svarende til et grundgebyr med tillæg af 8 kvarter, jf. taksterne i § 4.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9.</w:t>
      </w:r>
      <w:r>
        <w:rPr>
          <w:rFonts w:ascii="Questa-Regular" w:hAnsi="Questa-Regular"/>
          <w:color w:val="000000"/>
          <w:sz w:val="23"/>
          <w:szCs w:val="23"/>
        </w:rPr>
        <w:t> Omkostningerne ved håndtering og eventuel oplagring af produkter i forbindelse med kontrol er Fødevarestyrelsen uvedkommende.</w:t>
      </w:r>
    </w:p>
    <w:p w:rsidR="00D42413" w:rsidRDefault="00D42413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10.</w:t>
      </w:r>
      <w:r>
        <w:rPr>
          <w:rFonts w:ascii="Questa-Regular" w:hAnsi="Questa-Regular"/>
          <w:color w:val="000000"/>
          <w:sz w:val="23"/>
          <w:szCs w:val="23"/>
        </w:rPr>
        <w:t xml:space="preserve"> Bekendtgørelsen træder i kraft den </w:t>
      </w:r>
      <w:r w:rsidR="00280610">
        <w:rPr>
          <w:rFonts w:ascii="Questa-Regular" w:hAnsi="Questa-Regular"/>
          <w:color w:val="000000"/>
          <w:sz w:val="23"/>
          <w:szCs w:val="23"/>
        </w:rPr>
        <w:t>1.juli</w:t>
      </w:r>
      <w:r>
        <w:rPr>
          <w:rFonts w:ascii="Questa-Regular" w:hAnsi="Questa-Regular"/>
          <w:color w:val="000000"/>
          <w:sz w:val="23"/>
          <w:szCs w:val="23"/>
        </w:rPr>
        <w:t xml:space="preserve"> 2023.</w:t>
      </w:r>
    </w:p>
    <w:p w:rsidR="00D42413" w:rsidRDefault="00D42413" w:rsidP="00D42413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stknr"/>
          <w:rFonts w:ascii="Questa-Regular" w:hAnsi="Questa-Regular"/>
          <w:i/>
          <w:iCs/>
          <w:color w:val="000000"/>
          <w:sz w:val="23"/>
          <w:szCs w:val="23"/>
        </w:rPr>
        <w:t>Stk. 2.</w:t>
      </w:r>
      <w:r>
        <w:rPr>
          <w:rFonts w:ascii="Questa-Regular" w:hAnsi="Questa-Regular"/>
          <w:color w:val="000000"/>
          <w:sz w:val="23"/>
          <w:szCs w:val="23"/>
        </w:rPr>
        <w:t xml:space="preserve"> Bekendtgørelse nr. </w:t>
      </w:r>
      <w:r w:rsidR="000B7449">
        <w:rPr>
          <w:rFonts w:ascii="Questa-Regular" w:hAnsi="Questa-Regular"/>
          <w:color w:val="000000"/>
          <w:sz w:val="23"/>
          <w:szCs w:val="23"/>
        </w:rPr>
        <w:t>516</w:t>
      </w:r>
      <w:r>
        <w:rPr>
          <w:rFonts w:ascii="Questa-Regular" w:hAnsi="Questa-Regular"/>
          <w:color w:val="000000"/>
          <w:sz w:val="23"/>
          <w:szCs w:val="23"/>
        </w:rPr>
        <w:t xml:space="preserve"> </w:t>
      </w:r>
      <w:r w:rsidR="000B7449">
        <w:rPr>
          <w:rFonts w:ascii="Questa-Regular" w:hAnsi="Questa-Regular"/>
          <w:color w:val="000000"/>
          <w:sz w:val="23"/>
          <w:szCs w:val="23"/>
        </w:rPr>
        <w:t xml:space="preserve">af 16. maj </w:t>
      </w:r>
      <w:proofErr w:type="gramStart"/>
      <w:r w:rsidR="000B7449">
        <w:rPr>
          <w:rFonts w:ascii="Questa-Regular" w:hAnsi="Questa-Regular"/>
          <w:color w:val="000000"/>
          <w:sz w:val="23"/>
          <w:szCs w:val="23"/>
        </w:rPr>
        <w:t>2023</w:t>
      </w:r>
      <w:r>
        <w:rPr>
          <w:rFonts w:ascii="Questa-Regular" w:hAnsi="Questa-Regular"/>
          <w:color w:val="000000"/>
          <w:sz w:val="23"/>
          <w:szCs w:val="23"/>
        </w:rPr>
        <w:t xml:space="preserve">  for</w:t>
      </w:r>
      <w:proofErr w:type="gramEnd"/>
      <w:r>
        <w:rPr>
          <w:rFonts w:ascii="Questa-Regular" w:hAnsi="Questa-Regular"/>
          <w:color w:val="000000"/>
          <w:sz w:val="23"/>
          <w:szCs w:val="23"/>
        </w:rPr>
        <w:t xml:space="preserve"> Grønland om betaling for grænsekontrol ved indførsel af fiskevarer og levende muslinger m.m. samt biprodukter heraf og produkter fremstillet af disse biprodukter ophæves.</w:t>
      </w:r>
    </w:p>
    <w:p w:rsidR="00D42413" w:rsidRDefault="00D42413">
      <w:bookmarkStart w:id="0" w:name="_GoBack"/>
      <w:bookmarkEnd w:id="0"/>
    </w:p>
    <w:sectPr w:rsidR="00D42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2F" w:rsidRDefault="00FA792F" w:rsidP="00D42413">
      <w:pPr>
        <w:spacing w:after="0" w:line="240" w:lineRule="auto"/>
      </w:pPr>
      <w:r>
        <w:separator/>
      </w:r>
    </w:p>
  </w:endnote>
  <w:endnote w:type="continuationSeparator" w:id="0">
    <w:p w:rsidR="00FA792F" w:rsidRDefault="00FA792F" w:rsidP="00D4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Default="00D424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Default="00D4241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Default="00D424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2F" w:rsidRDefault="00FA792F" w:rsidP="00D42413">
      <w:pPr>
        <w:spacing w:after="0" w:line="240" w:lineRule="auto"/>
      </w:pPr>
      <w:r>
        <w:separator/>
      </w:r>
    </w:p>
  </w:footnote>
  <w:footnote w:type="continuationSeparator" w:id="0">
    <w:p w:rsidR="00FA792F" w:rsidRDefault="00FA792F" w:rsidP="00D4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Default="00D424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Pr="00D42413" w:rsidRDefault="00D42413" w:rsidP="00D42413">
    <w:pPr>
      <w:pStyle w:val="Sidehoved"/>
      <w:jc w:val="center"/>
      <w:rPr>
        <w:b/>
        <w:sz w:val="32"/>
        <w:szCs w:val="32"/>
      </w:rPr>
    </w:pPr>
    <w:r w:rsidRPr="00D42413">
      <w:rPr>
        <w:b/>
        <w:sz w:val="32"/>
        <w:szCs w:val="32"/>
      </w:rPr>
      <w:t>UDKAST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13" w:rsidRDefault="00D4241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uuhVeCoaUT0PQKifR7KBLY4xizxuEEYs85F5yU8KpXqfvGD31Zm2R/yPaPnV2BzF"/>
  </w:docVars>
  <w:rsids>
    <w:rsidRoot w:val="00D42413"/>
    <w:rsid w:val="000B7449"/>
    <w:rsid w:val="000F151F"/>
    <w:rsid w:val="00106F33"/>
    <w:rsid w:val="00280610"/>
    <w:rsid w:val="00563279"/>
    <w:rsid w:val="006F22D2"/>
    <w:rsid w:val="00806FF6"/>
    <w:rsid w:val="008D0907"/>
    <w:rsid w:val="009E10AB"/>
    <w:rsid w:val="00BD3AE6"/>
    <w:rsid w:val="00D42413"/>
    <w:rsid w:val="00FA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411"/>
  <w15:chartTrackingRefBased/>
  <w15:docId w15:val="{E169387F-1510-4F67-A772-6D847DF9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D42413"/>
  </w:style>
  <w:style w:type="paragraph" w:customStyle="1" w:styleId="liste1">
    <w:name w:val="liste1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D42413"/>
  </w:style>
  <w:style w:type="paragraph" w:customStyle="1" w:styleId="liste2">
    <w:name w:val="liste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D42413"/>
  </w:style>
  <w:style w:type="paragraph" w:customStyle="1" w:styleId="stk2">
    <w:name w:val="stk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D42413"/>
  </w:style>
  <w:style w:type="paragraph" w:styleId="Sidehoved">
    <w:name w:val="header"/>
    <w:basedOn w:val="Normal"/>
    <w:link w:val="SidehovedTegn"/>
    <w:uiPriority w:val="99"/>
    <w:unhideWhenUsed/>
    <w:rsid w:val="00D4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2413"/>
  </w:style>
  <w:style w:type="paragraph" w:styleId="Sidefod">
    <w:name w:val="footer"/>
    <w:basedOn w:val="Normal"/>
    <w:link w:val="SidefodTegn"/>
    <w:uiPriority w:val="99"/>
    <w:unhideWhenUsed/>
    <w:rsid w:val="00D4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510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Boris</dc:creator>
  <cp:keywords/>
  <dc:description/>
  <cp:lastModifiedBy>Jacob Hørslev Christiansen (FVST)</cp:lastModifiedBy>
  <cp:revision>3</cp:revision>
  <dcterms:created xsi:type="dcterms:W3CDTF">2023-05-23T08:33:00Z</dcterms:created>
  <dcterms:modified xsi:type="dcterms:W3CDTF">2023-05-23T13:22:00Z</dcterms:modified>
</cp:coreProperties>
</file>