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F4AC" w14:textId="77777777" w:rsidR="00AA122D" w:rsidRDefault="00AA122D" w:rsidP="00AA122D">
      <w:pPr>
        <w:framePr w:h="8505" w:hRule="exact" w:hSpace="142" w:wrap="around" w:vAnchor="text" w:hAnchor="page" w:x="8931" w:y="1" w:anchorLock="1"/>
      </w:pPr>
    </w:p>
    <w:p w14:paraId="69F3DA6A" w14:textId="77777777" w:rsidR="00AA122D" w:rsidRDefault="00AA122D" w:rsidP="007F2F31">
      <w:pPr>
        <w:framePr w:h="8505" w:hRule="exact" w:hSpace="142" w:wrap="around" w:vAnchor="text" w:hAnchor="page" w:x="8931" w:y="1" w:anchorLock="1"/>
      </w:pPr>
    </w:p>
    <w:tbl>
      <w:tblPr>
        <w:tblW w:w="0" w:type="auto"/>
        <w:tblLayout w:type="fixed"/>
        <w:tblCellMar>
          <w:left w:w="70" w:type="dxa"/>
          <w:right w:w="70" w:type="dxa"/>
        </w:tblCellMar>
        <w:tblLook w:val="0000" w:firstRow="0" w:lastRow="0" w:firstColumn="0" w:lastColumn="0" w:noHBand="0" w:noVBand="0"/>
      </w:tblPr>
      <w:tblGrid>
        <w:gridCol w:w="2408"/>
      </w:tblGrid>
      <w:tr w:rsidR="00163A8D" w14:paraId="567D1EA4" w14:textId="77777777">
        <w:trPr>
          <w:trHeight w:hRule="exact" w:val="2835"/>
        </w:trPr>
        <w:tc>
          <w:tcPr>
            <w:tcW w:w="2408" w:type="dxa"/>
            <w:tcBorders>
              <w:bottom w:val="nil"/>
            </w:tcBorders>
          </w:tcPr>
          <w:p w14:paraId="1A999E07" w14:textId="77777777" w:rsidR="00163A8D" w:rsidRPr="00B23B9D" w:rsidRDefault="00163A8D" w:rsidP="002E6F9A">
            <w:pPr>
              <w:pStyle w:val="skakt"/>
              <w:keepNext/>
              <w:keepLines/>
              <w:framePr w:w="0" w:h="8505" w:hRule="exact" w:hSpace="142" w:wrap="around" w:vAnchor="text" w:x="8931" w:y="1"/>
              <w:jc w:val="left"/>
              <w:rPr>
                <w:rFonts w:ascii="Arial Black" w:hAnsi="Arial Black"/>
                <w:sz w:val="16"/>
              </w:rPr>
            </w:pPr>
            <w:r w:rsidRPr="00B23B9D">
              <w:rPr>
                <w:rFonts w:ascii="Arial Black" w:hAnsi="Arial Black"/>
                <w:sz w:val="16"/>
              </w:rPr>
              <w:t>Finanstilsynet</w:t>
            </w:r>
          </w:p>
          <w:p w14:paraId="12502DBD" w14:textId="77777777" w:rsidR="00163A8D" w:rsidRDefault="00163A8D" w:rsidP="002E6F9A">
            <w:pPr>
              <w:pStyle w:val="skakt"/>
              <w:keepNext/>
              <w:keepLines/>
              <w:framePr w:w="0" w:h="8505" w:hRule="exact" w:hSpace="142" w:wrap="around" w:vAnchor="text" w:x="8931" w:y="1"/>
              <w:jc w:val="left"/>
              <w:rPr>
                <w:sz w:val="16"/>
              </w:rPr>
            </w:pPr>
          </w:p>
          <w:p w14:paraId="28F7722B" w14:textId="1DB131CA" w:rsidR="006C7261" w:rsidRDefault="00B07E41" w:rsidP="002E6F9A">
            <w:pPr>
              <w:pStyle w:val="skakt"/>
              <w:keepNext/>
              <w:keepLines/>
              <w:framePr w:w="0" w:h="8505" w:hRule="exact" w:hSpace="142" w:wrap="around" w:vAnchor="text" w:x="8931" w:y="1"/>
              <w:jc w:val="left"/>
              <w:rPr>
                <w:sz w:val="16"/>
              </w:rPr>
            </w:pPr>
            <w:bookmarkStart w:id="0" w:name="PCAdato"/>
            <w:bookmarkStart w:id="1" w:name="pDokDato"/>
            <w:bookmarkEnd w:id="0"/>
            <w:r>
              <w:rPr>
                <w:sz w:val="16"/>
              </w:rPr>
              <w:t>7. november</w:t>
            </w:r>
            <w:r w:rsidR="00AC26E8">
              <w:rPr>
                <w:sz w:val="16"/>
              </w:rPr>
              <w:t xml:space="preserve"> 202</w:t>
            </w:r>
            <w:r>
              <w:rPr>
                <w:sz w:val="16"/>
              </w:rPr>
              <w:t>3</w:t>
            </w:r>
            <w:bookmarkEnd w:id="1"/>
          </w:p>
          <w:p w14:paraId="37E3B28A" w14:textId="77777777" w:rsidR="00163A8D" w:rsidRDefault="00AC26E8" w:rsidP="002E6F9A">
            <w:pPr>
              <w:pStyle w:val="skakt"/>
              <w:keepNext/>
              <w:keepLines/>
              <w:framePr w:w="0" w:h="8505" w:hRule="exact" w:hSpace="142" w:wrap="around" w:vAnchor="text" w:x="8931" w:y="1"/>
              <w:jc w:val="left"/>
              <w:rPr>
                <w:sz w:val="16"/>
              </w:rPr>
            </w:pPr>
            <w:bookmarkStart w:id="2" w:name="Kontor"/>
            <w:r>
              <w:rPr>
                <w:sz w:val="16"/>
              </w:rPr>
              <w:t>RASK</w:t>
            </w:r>
            <w:bookmarkEnd w:id="2"/>
          </w:p>
          <w:p w14:paraId="35452695" w14:textId="77777777" w:rsidR="00163A8D" w:rsidRDefault="006C7261" w:rsidP="002E6F9A">
            <w:pPr>
              <w:pStyle w:val="skakt"/>
              <w:keepNext/>
              <w:keepLines/>
              <w:framePr w:w="0" w:h="8505" w:hRule="exact" w:hSpace="142" w:wrap="around" w:vAnchor="text" w:x="8931" w:y="1"/>
              <w:jc w:val="left"/>
              <w:rPr>
                <w:sz w:val="16"/>
              </w:rPr>
            </w:pPr>
            <w:r>
              <w:rPr>
                <w:sz w:val="16"/>
              </w:rPr>
              <w:t>J.nr.</w:t>
            </w:r>
            <w:bookmarkStart w:id="3" w:name="PCASag"/>
            <w:bookmarkEnd w:id="3"/>
            <w:r w:rsidR="00AC26E8">
              <w:rPr>
                <w:sz w:val="16"/>
              </w:rPr>
              <w:t>22-008537</w:t>
            </w:r>
          </w:p>
          <w:p w14:paraId="38E602CA" w14:textId="77777777" w:rsidR="00C5465E" w:rsidRDefault="00AC26E8" w:rsidP="002E6F9A">
            <w:pPr>
              <w:pStyle w:val="skakt"/>
              <w:keepNext/>
              <w:keepLines/>
              <w:framePr w:w="0" w:h="8505" w:hRule="exact" w:hSpace="142" w:wrap="around" w:vAnchor="text" w:x="8931" w:y="1"/>
              <w:jc w:val="left"/>
              <w:rPr>
                <w:sz w:val="16"/>
              </w:rPr>
            </w:pPr>
            <w:bookmarkStart w:id="4" w:name="Initialer"/>
            <w:r>
              <w:rPr>
                <w:sz w:val="16"/>
              </w:rPr>
              <w:t>/JUPE</w:t>
            </w:r>
            <w:bookmarkEnd w:id="4"/>
          </w:p>
          <w:p w14:paraId="6B05BEFF" w14:textId="77777777" w:rsidR="00163A8D" w:rsidRDefault="00163A8D">
            <w:pPr>
              <w:pStyle w:val="skakt"/>
              <w:keepNext/>
              <w:keepLines/>
              <w:framePr w:w="0" w:h="8505" w:hRule="exact" w:hSpace="142" w:wrap="around" w:vAnchor="text" w:x="8931" w:y="1"/>
            </w:pPr>
          </w:p>
        </w:tc>
      </w:tr>
    </w:tbl>
    <w:tbl>
      <w:tblPr>
        <w:tblW w:w="0" w:type="auto"/>
        <w:tblInd w:w="-8" w:type="dxa"/>
        <w:tblLayout w:type="fixed"/>
        <w:tblCellMar>
          <w:left w:w="0" w:type="dxa"/>
          <w:right w:w="0" w:type="dxa"/>
        </w:tblCellMar>
        <w:tblLook w:val="0000" w:firstRow="0" w:lastRow="0" w:firstColumn="0" w:lastColumn="0" w:noHBand="0" w:noVBand="0"/>
      </w:tblPr>
      <w:tblGrid>
        <w:gridCol w:w="7258"/>
      </w:tblGrid>
      <w:tr w:rsidR="00163A8D" w14:paraId="6FDECE10" w14:textId="77777777">
        <w:trPr>
          <w:cantSplit/>
          <w:trHeight w:val="2040"/>
        </w:trPr>
        <w:tc>
          <w:tcPr>
            <w:tcW w:w="7258" w:type="dxa"/>
          </w:tcPr>
          <w:p w14:paraId="190D69E6" w14:textId="77777777" w:rsidR="00163A8D" w:rsidRDefault="00163A8D"/>
          <w:p w14:paraId="32A45ABF" w14:textId="77777777" w:rsidR="00163A8D" w:rsidRDefault="00163A8D"/>
          <w:p w14:paraId="663A2215" w14:textId="77777777" w:rsidR="00163A8D" w:rsidRDefault="00163A8D">
            <w:bookmarkStart w:id="5" w:name="PCAmodtager"/>
            <w:bookmarkEnd w:id="5"/>
          </w:p>
          <w:p w14:paraId="5F3A7185" w14:textId="77777777" w:rsidR="00163A8D" w:rsidRDefault="00163A8D"/>
          <w:p w14:paraId="6021D8C0" w14:textId="77777777" w:rsidR="00163A8D" w:rsidRDefault="00163A8D"/>
          <w:p w14:paraId="0D852B00" w14:textId="77777777" w:rsidR="00163A8D" w:rsidRDefault="00163A8D"/>
          <w:p w14:paraId="48CF4C08" w14:textId="77777777" w:rsidR="00163A8D" w:rsidRDefault="00163A8D"/>
          <w:p w14:paraId="53A4AF1D" w14:textId="77777777" w:rsidR="00163A8D" w:rsidRDefault="00163A8D"/>
        </w:tc>
      </w:tr>
    </w:tbl>
    <w:p w14:paraId="5194368B" w14:textId="77777777" w:rsidR="00163A8D" w:rsidRDefault="00163A8D" w:rsidP="00CF4780">
      <w:pPr>
        <w:pStyle w:val="Brdtekst"/>
      </w:pPr>
    </w:p>
    <w:p w14:paraId="3DFD60B7" w14:textId="158F9885" w:rsidR="00163A8D" w:rsidRPr="00CF4780" w:rsidRDefault="00AC26E8" w:rsidP="00907B69">
      <w:pPr>
        <w:pStyle w:val="Overskrift1"/>
      </w:pPr>
      <w:bookmarkStart w:id="6" w:name="PCAoverskrift"/>
      <w:bookmarkStart w:id="7" w:name="PEmne"/>
      <w:bookmarkEnd w:id="6"/>
      <w:r>
        <w:t xml:space="preserve">Resumé af anordning om ikrafttræden </w:t>
      </w:r>
      <w:r w:rsidR="00623503">
        <w:t xml:space="preserve">for Grønland af visse bestemmelser i forskellige love om ændring </w:t>
      </w:r>
      <w:r>
        <w:t xml:space="preserve">af lov om en garantifond for skadesforsikringsselskaber </w:t>
      </w:r>
      <w:bookmarkEnd w:id="7"/>
    </w:p>
    <w:p w14:paraId="3C742DBD" w14:textId="102BB091" w:rsidR="00163A8D" w:rsidRDefault="00163A8D">
      <w:pPr>
        <w:pStyle w:val="Brdtekst"/>
      </w:pPr>
    </w:p>
    <w:p w14:paraId="5EB4AD79" w14:textId="77777777" w:rsidR="009B6F7E" w:rsidRDefault="009B6F7E" w:rsidP="009B6F7E">
      <w:pPr>
        <w:pStyle w:val="Overskrift2"/>
        <w:jc w:val="center"/>
      </w:pPr>
      <w:r>
        <w:t>Generelt</w:t>
      </w:r>
    </w:p>
    <w:p w14:paraId="41B9F54A" w14:textId="0F079174" w:rsidR="00623503" w:rsidRDefault="009B6F7E" w:rsidP="009B6F7E">
      <w:r>
        <w:t>Nedenfor findes et resume over de enkelte ændringer af lov om en garantifond for skadesforsikringsselskaber, som sat i kraft for Grønland og tilpasninger til grønlandske forhold.</w:t>
      </w:r>
    </w:p>
    <w:p w14:paraId="6C3655EF" w14:textId="6FB4909A" w:rsidR="009B6F7E" w:rsidRDefault="009B6F7E" w:rsidP="009B6F7E">
      <w:pPr>
        <w:pStyle w:val="Overskrift2"/>
        <w:jc w:val="center"/>
      </w:pPr>
      <w:bookmarkStart w:id="8" w:name="PCAStart"/>
      <w:bookmarkEnd w:id="8"/>
      <w:r>
        <w:t xml:space="preserve">§ </w:t>
      </w:r>
      <w:r w:rsidR="00623503">
        <w:t>2</w:t>
      </w:r>
    </w:p>
    <w:p w14:paraId="767B0F46" w14:textId="7D1C45CC" w:rsidR="00331EDD" w:rsidRDefault="009B6F7E" w:rsidP="00F86944">
      <w:r>
        <w:t>Anordningen sætter § 15 i lov nr. 1556 af 21. december 2010 i kraft for Grønland. Nedenfor er et resume af de væsentligste ændringer af lov</w:t>
      </w:r>
      <w:r w:rsidR="00E36CC5">
        <w:t xml:space="preserve"> om</w:t>
      </w:r>
      <w:r>
        <w:t xml:space="preserve"> en garantifond</w:t>
      </w:r>
      <w:r w:rsidR="00623503">
        <w:t xml:space="preserve"> for skadesforsikringsselskaber</w:t>
      </w:r>
      <w:r>
        <w:t>, og de væsentligste tilpasninger til grønlandsk forhold.</w:t>
      </w:r>
    </w:p>
    <w:p w14:paraId="060101B4" w14:textId="094F2967" w:rsidR="00394ED7" w:rsidRDefault="00394ED7" w:rsidP="00623503">
      <w:pPr>
        <w:pStyle w:val="Underoverskrift"/>
        <w:numPr>
          <w:ilvl w:val="0"/>
          <w:numId w:val="17"/>
        </w:numPr>
      </w:pPr>
      <w:r>
        <w:t>Tilpasninger til grønlandske forhold</w:t>
      </w:r>
    </w:p>
    <w:p w14:paraId="3CF416BB" w14:textId="48CABA17" w:rsidR="00394ED7" w:rsidRPr="00394ED7" w:rsidRDefault="00394ED7" w:rsidP="00394ED7">
      <w:r>
        <w:t xml:space="preserve">Med anordningens § </w:t>
      </w:r>
      <w:r w:rsidR="00623503">
        <w:t>2</w:t>
      </w:r>
      <w:r>
        <w:t xml:space="preserve"> sættes der ikke noget i kraft for Grønland. Årsagen er, at ændringen fra </w:t>
      </w:r>
      <w:r w:rsidR="00623503" w:rsidRPr="00FC5256">
        <w:rPr>
          <w:szCs w:val="21"/>
        </w:rPr>
        <w:t>»</w:t>
      </w:r>
      <w:r>
        <w:t>Fællesskabet</w:t>
      </w:r>
      <w:r w:rsidR="00623503" w:rsidRPr="00FC5256">
        <w:rPr>
          <w:szCs w:val="21"/>
        </w:rPr>
        <w:t>«</w:t>
      </w:r>
      <w:r>
        <w:t xml:space="preserve"> til </w:t>
      </w:r>
      <w:r w:rsidR="00623503" w:rsidRPr="00FC5256">
        <w:rPr>
          <w:szCs w:val="21"/>
        </w:rPr>
        <w:t>»</w:t>
      </w:r>
      <w:r>
        <w:t>Unionen</w:t>
      </w:r>
      <w:r w:rsidR="00623503" w:rsidRPr="00FC5256">
        <w:rPr>
          <w:szCs w:val="21"/>
        </w:rPr>
        <w:t>«</w:t>
      </w:r>
      <w:r>
        <w:t xml:space="preserve">, ikke har betydning for Grønland, da </w:t>
      </w:r>
      <w:r w:rsidR="00623503" w:rsidRPr="00FC5256">
        <w:rPr>
          <w:szCs w:val="21"/>
        </w:rPr>
        <w:t>»</w:t>
      </w:r>
      <w:r w:rsidR="00623503">
        <w:t>Fællesskabet</w:t>
      </w:r>
      <w:r w:rsidR="00623503" w:rsidRPr="00FC5256">
        <w:rPr>
          <w:szCs w:val="21"/>
        </w:rPr>
        <w:t>«</w:t>
      </w:r>
      <w:r w:rsidR="00623503">
        <w:t xml:space="preserve"> ikke fremgår </w:t>
      </w:r>
      <w:r w:rsidR="00563E61">
        <w:t>nogen</w:t>
      </w:r>
      <w:r w:rsidR="00623503">
        <w:t xml:space="preserve"> steder af </w:t>
      </w:r>
      <w:r>
        <w:t>den gældende anordning.</w:t>
      </w:r>
      <w:r w:rsidR="00623503">
        <w:t xml:space="preserve"> </w:t>
      </w:r>
    </w:p>
    <w:p w14:paraId="0DEBAF3D" w14:textId="62EB4870" w:rsidR="00394ED7" w:rsidRDefault="00394ED7">
      <w:pPr>
        <w:pStyle w:val="Brdtekst"/>
      </w:pPr>
    </w:p>
    <w:p w14:paraId="74BCED37" w14:textId="77777777" w:rsidR="002503C6" w:rsidRDefault="002503C6" w:rsidP="002503C6">
      <w:r>
        <w:t>Der henvises til følgende ændring:</w:t>
      </w:r>
    </w:p>
    <w:p w14:paraId="0EE55DA1" w14:textId="77777777" w:rsidR="002503C6" w:rsidRDefault="002503C6" w:rsidP="002503C6">
      <w:r>
        <w:t xml:space="preserve"> </w:t>
      </w:r>
    </w:p>
    <w:p w14:paraId="7746DDEE" w14:textId="2451EE75" w:rsidR="002503C6" w:rsidRDefault="002503C6" w:rsidP="002503C6">
      <w:r>
        <w:t xml:space="preserve">§ </w:t>
      </w:r>
      <w:r w:rsidR="00623503">
        <w:t>2</w:t>
      </w:r>
      <w:r>
        <w:t>, nr. 1.</w:t>
      </w:r>
    </w:p>
    <w:p w14:paraId="0BE889D3" w14:textId="7635B9C5" w:rsidR="00347B1E" w:rsidRDefault="00347B1E" w:rsidP="00347B1E">
      <w:pPr>
        <w:pStyle w:val="Overskrift2"/>
        <w:jc w:val="center"/>
      </w:pPr>
      <w:r>
        <w:t xml:space="preserve">§ </w:t>
      </w:r>
      <w:r w:rsidR="00652874">
        <w:t>3</w:t>
      </w:r>
    </w:p>
    <w:p w14:paraId="14A46054" w14:textId="48439EBA" w:rsidR="009B6F7E" w:rsidRDefault="00347B1E" w:rsidP="007F2F31">
      <w:r>
        <w:t xml:space="preserve">Anordningen sætter </w:t>
      </w:r>
      <w:r>
        <w:rPr>
          <w:szCs w:val="21"/>
        </w:rPr>
        <w:t xml:space="preserve">§ 50 i lov nr. 1231 af 18. december 2012 </w:t>
      </w:r>
      <w:r>
        <w:t>i kraft for Grønland. Nedenfor er et resume af de væsentligste ændringer af lov</w:t>
      </w:r>
      <w:r w:rsidR="00E36CC5">
        <w:t xml:space="preserve"> om</w:t>
      </w:r>
      <w:r>
        <w:t xml:space="preserve"> en garantifond</w:t>
      </w:r>
      <w:r w:rsidR="00652874">
        <w:t xml:space="preserve"> for skadesforsikringsselskaber</w:t>
      </w:r>
      <w:r>
        <w:t>, og de væsentligste tilpasninger til grønlandsk forhold.</w:t>
      </w:r>
    </w:p>
    <w:p w14:paraId="6D623767" w14:textId="1D0AF12A" w:rsidR="00347B1E" w:rsidRDefault="00347B1E" w:rsidP="005234AD">
      <w:pPr>
        <w:pStyle w:val="Underoverskrift"/>
        <w:numPr>
          <w:ilvl w:val="0"/>
          <w:numId w:val="8"/>
        </w:numPr>
      </w:pPr>
      <w:r>
        <w:lastRenderedPageBreak/>
        <w:t>Digital kommunikation</w:t>
      </w:r>
    </w:p>
    <w:p w14:paraId="500F2C12" w14:textId="0F8AEBC7" w:rsidR="00652874" w:rsidRDefault="00652874" w:rsidP="00347B1E">
      <w:r>
        <w:t xml:space="preserve">Med anordningen indsættes der tre nye bestemmelser. </w:t>
      </w:r>
    </w:p>
    <w:p w14:paraId="1C374474" w14:textId="77777777" w:rsidR="00652874" w:rsidRDefault="00652874" w:rsidP="00347B1E"/>
    <w:p w14:paraId="579D9140" w14:textId="2CFE4309" w:rsidR="005234AD" w:rsidRDefault="001F64C5" w:rsidP="00347B1E">
      <w:r>
        <w:t>§§ 15</w:t>
      </w:r>
      <w:r w:rsidR="009629DD">
        <w:t xml:space="preserve"> </w:t>
      </w:r>
      <w:r>
        <w:t>a-15</w:t>
      </w:r>
      <w:r w:rsidR="009629DD">
        <w:t xml:space="preserve"> </w:t>
      </w:r>
      <w:r>
        <w:t>c</w:t>
      </w:r>
      <w:r w:rsidR="00347B1E" w:rsidRPr="00347B1E">
        <w:t xml:space="preserve"> vedrører skriftlig kommunikation til og fra Finanstilsynet om alle forhold, der er omfattet af lov om en garantifond for skadesforsikringsselskaber og </w:t>
      </w:r>
      <w:r w:rsidR="00652874">
        <w:t xml:space="preserve">regler </w:t>
      </w:r>
      <w:r w:rsidR="00347B1E" w:rsidRPr="00347B1E">
        <w:t xml:space="preserve">udstedt i medfør af </w:t>
      </w:r>
      <w:r w:rsidR="00652874">
        <w:t xml:space="preserve">denne </w:t>
      </w:r>
      <w:r w:rsidR="00347B1E" w:rsidRPr="00347B1E">
        <w:t>lov</w:t>
      </w:r>
      <w:r w:rsidR="00652874">
        <w:t>.</w:t>
      </w:r>
      <w:r w:rsidR="00347B1E" w:rsidRPr="00347B1E">
        <w:t xml:space="preserve"> </w:t>
      </w:r>
    </w:p>
    <w:p w14:paraId="76A87454" w14:textId="66227639" w:rsidR="00347B1E" w:rsidRDefault="00347B1E" w:rsidP="00347B1E"/>
    <w:p w14:paraId="7ADA2333" w14:textId="275B1583" w:rsidR="005234AD" w:rsidRDefault="005234AD" w:rsidP="00347B1E">
      <w:r>
        <w:t>Med §§ 15</w:t>
      </w:r>
      <w:r w:rsidR="009629DD">
        <w:t xml:space="preserve"> </w:t>
      </w:r>
      <w:r>
        <w:t>a-15</w:t>
      </w:r>
      <w:r w:rsidR="009629DD">
        <w:t xml:space="preserve"> </w:t>
      </w:r>
      <w:r>
        <w:t>c</w:t>
      </w:r>
      <w:r w:rsidR="00652874">
        <w:t xml:space="preserve"> </w:t>
      </w:r>
      <w:r>
        <w:t>bemyndiges Erhvervsministeren til at fastsætte nærmere regler på en række områder, som vedrører skriftlig kommunikation til og fra Finanstilsynet.</w:t>
      </w:r>
    </w:p>
    <w:p w14:paraId="5EA77191" w14:textId="77777777" w:rsidR="005234AD" w:rsidRDefault="005234AD" w:rsidP="00347B1E"/>
    <w:p w14:paraId="60AE3586" w14:textId="01957B4A" w:rsidR="00347B1E" w:rsidRDefault="00347B1E" w:rsidP="00347B1E">
      <w:r>
        <w:t>Der henvises til følgende ændring:</w:t>
      </w:r>
    </w:p>
    <w:p w14:paraId="1648458D" w14:textId="77777777" w:rsidR="00347B1E" w:rsidRDefault="00347B1E" w:rsidP="00347B1E">
      <w:r>
        <w:t xml:space="preserve"> </w:t>
      </w:r>
    </w:p>
    <w:p w14:paraId="34F3DE5E" w14:textId="08388006" w:rsidR="005234AD" w:rsidRDefault="00347B1E" w:rsidP="00347B1E">
      <w:r>
        <w:t xml:space="preserve">§ </w:t>
      </w:r>
      <w:r w:rsidR="00652874">
        <w:t>3</w:t>
      </w:r>
      <w:r>
        <w:t>, nr. 1.</w:t>
      </w:r>
    </w:p>
    <w:p w14:paraId="79E18A77" w14:textId="7829FAA6" w:rsidR="005234AD" w:rsidRDefault="005234AD" w:rsidP="005234AD">
      <w:pPr>
        <w:pStyle w:val="Overskrift2"/>
        <w:jc w:val="center"/>
      </w:pPr>
      <w:r>
        <w:t xml:space="preserve">§ </w:t>
      </w:r>
      <w:r w:rsidR="00B50B07">
        <w:t>4</w:t>
      </w:r>
    </w:p>
    <w:p w14:paraId="510A2C06" w14:textId="7D819AE7" w:rsidR="005234AD" w:rsidRDefault="005234AD" w:rsidP="005234AD">
      <w:r>
        <w:t xml:space="preserve">Anordningen sætter </w:t>
      </w:r>
      <w:r>
        <w:rPr>
          <w:szCs w:val="21"/>
        </w:rPr>
        <w:t xml:space="preserve">§ 1 i lov nr. 1505 af 8. december 2016 </w:t>
      </w:r>
      <w:r>
        <w:t>i kraft for Grønland. Nedenfor er et resume af de væsentligste ændringer af lov</w:t>
      </w:r>
      <w:r w:rsidR="00E36CC5">
        <w:t xml:space="preserve"> om</w:t>
      </w:r>
      <w:r>
        <w:t xml:space="preserve"> en garantifond</w:t>
      </w:r>
      <w:r w:rsidR="00B50B07">
        <w:t xml:space="preserve"> for skadesforsikringsselskaber</w:t>
      </w:r>
      <w:r>
        <w:t>, og de væsentligste tilpasninger til grønlandsk forhold.</w:t>
      </w:r>
    </w:p>
    <w:p w14:paraId="28E232E8" w14:textId="6A0DD685" w:rsidR="005234AD" w:rsidRDefault="005234AD" w:rsidP="005234AD">
      <w:pPr>
        <w:pStyle w:val="Underoverskrift"/>
        <w:numPr>
          <w:ilvl w:val="0"/>
          <w:numId w:val="7"/>
        </w:numPr>
      </w:pPr>
      <w:r>
        <w:t>Præcisering af § 6, stk. 1, 1. pkt.</w:t>
      </w:r>
    </w:p>
    <w:p w14:paraId="2FEB973E" w14:textId="70207FA2" w:rsidR="005234AD" w:rsidRDefault="005234AD" w:rsidP="005234AD">
      <w:r>
        <w:t>Det</w:t>
      </w:r>
      <w:r w:rsidR="00456FC4">
        <w:t xml:space="preserve"> præciseres med bestemmelsen i</w:t>
      </w:r>
      <w:r>
        <w:t xml:space="preserve"> § 6</w:t>
      </w:r>
      <w:r w:rsidRPr="005234AD">
        <w:t>, stk. 1, 1. pkt., at § 6 kun finder anvendelse på de erstatningskrav, der følger af § 5</w:t>
      </w:r>
      <w:r w:rsidR="00B50B07">
        <w:t>, som omhandler dækningsområde og anmeldelse af krav.</w:t>
      </w:r>
    </w:p>
    <w:p w14:paraId="2F2B673A" w14:textId="77777777" w:rsidR="00350B75" w:rsidRDefault="00350B75" w:rsidP="00350B75"/>
    <w:p w14:paraId="2F23F16A" w14:textId="77777777" w:rsidR="00350B75" w:rsidRDefault="00350B75" w:rsidP="00350B75">
      <w:r>
        <w:t>Der henvises til følgende ændringer:</w:t>
      </w:r>
    </w:p>
    <w:p w14:paraId="10F14514" w14:textId="77777777" w:rsidR="00350B75" w:rsidRDefault="00350B75" w:rsidP="00350B75">
      <w:r>
        <w:t xml:space="preserve"> </w:t>
      </w:r>
    </w:p>
    <w:p w14:paraId="12F3D461" w14:textId="77777777" w:rsidR="00350B75" w:rsidRDefault="00350B75" w:rsidP="00350B75">
      <w:r>
        <w:t>§ 4, nr. 1-4.</w:t>
      </w:r>
    </w:p>
    <w:p w14:paraId="2086407F" w14:textId="2A3C25DC" w:rsidR="005234AD" w:rsidRDefault="005234AD" w:rsidP="005234AD"/>
    <w:p w14:paraId="7E2DC4FF" w14:textId="3B75CDDC" w:rsidR="00394ED7" w:rsidRDefault="00394ED7" w:rsidP="00FE6699">
      <w:pPr>
        <w:pStyle w:val="Underoverskrift"/>
        <w:numPr>
          <w:ilvl w:val="1"/>
          <w:numId w:val="6"/>
        </w:numPr>
      </w:pPr>
      <w:r>
        <w:t>Tilpasninger til de grønlandske forhold</w:t>
      </w:r>
    </w:p>
    <w:p w14:paraId="210B3FC1" w14:textId="31674392" w:rsidR="00394ED7" w:rsidRDefault="00B50B07" w:rsidP="00394ED7">
      <w:r>
        <w:t xml:space="preserve">Nr. 1, 2 og 4 i anordningens § 4 </w:t>
      </w:r>
      <w:r w:rsidR="00394ED7">
        <w:t>sættes ikke i kraft for Grønland.</w:t>
      </w:r>
    </w:p>
    <w:p w14:paraId="38657757" w14:textId="54E00B8A" w:rsidR="00394ED7" w:rsidRDefault="00394ED7" w:rsidP="00394ED7"/>
    <w:p w14:paraId="3CDDA2AE" w14:textId="461CE36C" w:rsidR="002503C6" w:rsidRDefault="00A8155C" w:rsidP="00394ED7">
      <w:r>
        <w:t xml:space="preserve">De bestemmelser, som ikke sættes i kraft, har til formål at </w:t>
      </w:r>
      <w:r w:rsidR="00394ED7">
        <w:t>sikre dækning af eventuelle krav efter konkursboet i Gable Insurance AG, som blandt andet tegnede forsikring i Danmark gennem Husejernes Forsikring Assurance Agentur ApS. Bestemmelserne vurderes ikke at have betydning for Grønland.</w:t>
      </w:r>
    </w:p>
    <w:p w14:paraId="058E8356" w14:textId="05B4F5F2" w:rsidR="005234AD" w:rsidRDefault="005234AD" w:rsidP="005234AD">
      <w:pPr>
        <w:pStyle w:val="Overskrift2"/>
        <w:jc w:val="center"/>
      </w:pPr>
      <w:r>
        <w:t xml:space="preserve">§ </w:t>
      </w:r>
      <w:r w:rsidR="008560A4">
        <w:t>5</w:t>
      </w:r>
    </w:p>
    <w:p w14:paraId="09FB208B" w14:textId="4313A39B" w:rsidR="005234AD" w:rsidRDefault="005234AD" w:rsidP="005234AD">
      <w:r>
        <w:t xml:space="preserve">Anordningen sætter </w:t>
      </w:r>
      <w:r>
        <w:rPr>
          <w:szCs w:val="21"/>
        </w:rPr>
        <w:t xml:space="preserve">§ 1 i lov nr. 664 af 8. juni 2017 </w:t>
      </w:r>
      <w:r>
        <w:t>i kraft for Grønland. Nedenfor er et resume af de væsentligste ændringer af lov</w:t>
      </w:r>
      <w:r w:rsidR="00E36CC5">
        <w:t xml:space="preserve"> om</w:t>
      </w:r>
      <w:r>
        <w:t xml:space="preserve"> </w:t>
      </w:r>
      <w:r w:rsidR="00456FC4">
        <w:t>en garantifond</w:t>
      </w:r>
      <w:r w:rsidR="00241D73">
        <w:t xml:space="preserve"> for skadesforsikringsselskaber</w:t>
      </w:r>
      <w:r>
        <w:t>, og de væsentligste tilpasninger til grønlandsk forhold.</w:t>
      </w:r>
    </w:p>
    <w:p w14:paraId="0680E87F" w14:textId="39B086B6" w:rsidR="005234AD" w:rsidRDefault="00456FC4" w:rsidP="005234AD">
      <w:pPr>
        <w:pStyle w:val="Underoverskrift"/>
        <w:numPr>
          <w:ilvl w:val="0"/>
          <w:numId w:val="9"/>
        </w:numPr>
      </w:pPr>
      <w:r>
        <w:lastRenderedPageBreak/>
        <w:t>Ændring af Garantifondens dækningsområde og bidragsgrundlag</w:t>
      </w:r>
      <w:r w:rsidR="00394ED7">
        <w:t>, mv.</w:t>
      </w:r>
    </w:p>
    <w:p w14:paraId="69074C3F" w14:textId="22144884" w:rsidR="00456FC4" w:rsidRDefault="00456FC4" w:rsidP="00456FC4">
      <w:r>
        <w:t>Med anordningen etableres</w:t>
      </w:r>
      <w:r w:rsidRPr="00456FC4">
        <w:t xml:space="preserve"> en ordning, hvorefter direkte tegnende skadesforsikringsselskaber med hjemsted i lande indenfor Den Europæiske Union eller lande, som Unionen har indgået aftale med på det finansielle område, som via filial eller grænseoverskridende tjenesteydelsesvirksomhed tegner forbrugerforsik</w:t>
      </w:r>
      <w:r>
        <w:t>ringer på det danske marked, kunne</w:t>
      </w:r>
      <w:r w:rsidRPr="00456FC4">
        <w:t xml:space="preserve"> tilslutte sig Fonden.</w:t>
      </w:r>
    </w:p>
    <w:p w14:paraId="6ED2AF7F" w14:textId="5020AEF9" w:rsidR="00456FC4" w:rsidRDefault="00456FC4" w:rsidP="00456FC4"/>
    <w:p w14:paraId="7BA8809E" w14:textId="50F0CCA3" w:rsidR="00350B75" w:rsidRDefault="00456FC4" w:rsidP="00350B75">
      <w:r>
        <w:t xml:space="preserve">De bestemmelser, som sættes i kraft ved anordningens § </w:t>
      </w:r>
      <w:r w:rsidR="006570D8">
        <w:t>5</w:t>
      </w:r>
      <w:r>
        <w:t xml:space="preserve"> blive</w:t>
      </w:r>
      <w:r w:rsidR="002503C6">
        <w:t xml:space="preserve">r i det væsentlige ændret ved </w:t>
      </w:r>
      <w:r w:rsidR="00241D73">
        <w:t>denne anordnings</w:t>
      </w:r>
      <w:r w:rsidR="009600C0">
        <w:t xml:space="preserve"> </w:t>
      </w:r>
      <w:r w:rsidR="002503C6">
        <w:t xml:space="preserve">§§ </w:t>
      </w:r>
      <w:r w:rsidR="00773E25">
        <w:t>6</w:t>
      </w:r>
      <w:r w:rsidR="002503C6">
        <w:t>-</w:t>
      </w:r>
      <w:r w:rsidR="00773E25">
        <w:t>10</w:t>
      </w:r>
      <w:r w:rsidR="002503C6">
        <w:t>.</w:t>
      </w:r>
      <w:r w:rsidR="00350B75" w:rsidRPr="00350B75">
        <w:t xml:space="preserve"> </w:t>
      </w:r>
    </w:p>
    <w:p w14:paraId="6D2F394D" w14:textId="77777777" w:rsidR="00350B75" w:rsidRDefault="00350B75" w:rsidP="00350B75"/>
    <w:p w14:paraId="442A2170" w14:textId="593BFB94" w:rsidR="00350B75" w:rsidRDefault="00350B75" w:rsidP="00350B75">
      <w:r>
        <w:t>Der henvises til følgende ændringer:</w:t>
      </w:r>
    </w:p>
    <w:p w14:paraId="1F519D6E" w14:textId="77777777" w:rsidR="00350B75" w:rsidRDefault="00350B75" w:rsidP="00350B75"/>
    <w:p w14:paraId="10E5798D" w14:textId="29628924" w:rsidR="00456FC4" w:rsidRDefault="00350B75" w:rsidP="00456FC4">
      <w:r>
        <w:t>§ 5, nr. 1-15.</w:t>
      </w:r>
    </w:p>
    <w:p w14:paraId="081E31F2" w14:textId="77777777" w:rsidR="00456FC4" w:rsidRDefault="00456FC4" w:rsidP="007F2F31">
      <w:pPr>
        <w:pStyle w:val="Underoverskrift"/>
        <w:numPr>
          <w:ilvl w:val="1"/>
          <w:numId w:val="6"/>
        </w:numPr>
        <w:ind w:left="426" w:hanging="426"/>
      </w:pPr>
      <w:r>
        <w:t>Tilpasninger til de grønlandske forhold</w:t>
      </w:r>
    </w:p>
    <w:p w14:paraId="171CAF8C" w14:textId="417EAD3A" w:rsidR="00456FC4" w:rsidRDefault="00456FC4" w:rsidP="00456FC4">
      <w:r>
        <w:t xml:space="preserve">Med undtagelse af anordningens § </w:t>
      </w:r>
      <w:r w:rsidR="00773E25">
        <w:t>5</w:t>
      </w:r>
      <w:r>
        <w:t>, nr. 8, tydeliggøres det</w:t>
      </w:r>
      <w:r w:rsidRPr="00456FC4">
        <w:t xml:space="preserve"> </w:t>
      </w:r>
      <w:r>
        <w:t xml:space="preserve">alle steder i § </w:t>
      </w:r>
      <w:r w:rsidR="00773E25">
        <w:t>5</w:t>
      </w:r>
      <w:r>
        <w:t xml:space="preserve">, at Garantifonden også dækker risici i Grønland, såfremt et skadesforsikringsselskab går konkurs. </w:t>
      </w:r>
    </w:p>
    <w:p w14:paraId="518F340F" w14:textId="68869E85" w:rsidR="00456FC4" w:rsidRDefault="00456FC4" w:rsidP="00456FC4"/>
    <w:p w14:paraId="4AA07404" w14:textId="46F098BB" w:rsidR="00456FC4" w:rsidRDefault="00456FC4" w:rsidP="00456FC4">
      <w:r>
        <w:t>Der er ligeledes lavet sproglige tilpasninger, så anordningen ikke give</w:t>
      </w:r>
      <w:r w:rsidR="00CC65AC">
        <w:t>r</w:t>
      </w:r>
      <w:r>
        <w:t xml:space="preserve"> anledning til den opfattelse, at Grønland er </w:t>
      </w:r>
      <w:r w:rsidR="00932ADD">
        <w:t>medlem af</w:t>
      </w:r>
      <w:r>
        <w:t xml:space="preserve"> EU.</w:t>
      </w:r>
    </w:p>
    <w:p w14:paraId="35F3A9AE" w14:textId="66837637" w:rsidR="00394ED7" w:rsidRDefault="00394ED7" w:rsidP="00456FC4"/>
    <w:p w14:paraId="1DF951BC" w14:textId="33C86C14" w:rsidR="00394ED7" w:rsidRDefault="00394ED7" w:rsidP="00394ED7">
      <w:r>
        <w:t>Bestemmelsen</w:t>
      </w:r>
      <w:r w:rsidRPr="00394ED7">
        <w:t xml:space="preserve"> </w:t>
      </w:r>
      <w:r>
        <w:t xml:space="preserve">i § </w:t>
      </w:r>
      <w:r w:rsidR="00773E25">
        <w:t>5</w:t>
      </w:r>
      <w:r>
        <w:t>, nr. 6, sættes ikke i kraft for Grønland, da den</w:t>
      </w:r>
      <w:r w:rsidR="00E36CC5">
        <w:t xml:space="preserve"> i bestemmelsen</w:t>
      </w:r>
      <w:r>
        <w:t xml:space="preserve"> omtalte advokatredegørelse ikke har betydning for Grønland.</w:t>
      </w:r>
    </w:p>
    <w:p w14:paraId="3D7F8D06" w14:textId="436C6936" w:rsidR="00394ED7" w:rsidRDefault="00394ED7" w:rsidP="00394ED7"/>
    <w:p w14:paraId="310D17F5" w14:textId="2BACCEA3" w:rsidR="00394ED7" w:rsidRDefault="00394ED7" w:rsidP="00394ED7">
      <w:r>
        <w:t xml:space="preserve">Bestemmelsen i § </w:t>
      </w:r>
      <w:r w:rsidR="00773E25">
        <w:t>5</w:t>
      </w:r>
      <w:r>
        <w:t xml:space="preserve">, nr. </w:t>
      </w:r>
      <w:r w:rsidR="006570D8">
        <w:t>15</w:t>
      </w:r>
      <w:r>
        <w:t xml:space="preserve">, sættes ikke i kraft for Grønland, da den bestemmelse, som ellers ville blive ophævet ved § </w:t>
      </w:r>
      <w:r w:rsidR="00773E25">
        <w:t>5</w:t>
      </w:r>
      <w:r>
        <w:t xml:space="preserve">, nr. </w:t>
      </w:r>
      <w:r w:rsidR="006570D8">
        <w:t>15</w:t>
      </w:r>
      <w:r>
        <w:t>, ikke var sat i kraft for Grønland.</w:t>
      </w:r>
    </w:p>
    <w:p w14:paraId="61EBB9B1" w14:textId="7123271B" w:rsidR="00773E25" w:rsidRDefault="00773E25" w:rsidP="00394ED7"/>
    <w:p w14:paraId="796396A8" w14:textId="13AE5D41" w:rsidR="00456FC4" w:rsidRDefault="00456FC4" w:rsidP="00456FC4">
      <w:pPr>
        <w:pStyle w:val="Overskrift2"/>
        <w:jc w:val="center"/>
      </w:pPr>
      <w:r>
        <w:t xml:space="preserve">§ </w:t>
      </w:r>
      <w:r w:rsidR="003B1B2E">
        <w:t>6</w:t>
      </w:r>
    </w:p>
    <w:p w14:paraId="30C8ABDE" w14:textId="6D2ABBA1" w:rsidR="005234AD" w:rsidRDefault="00456FC4" w:rsidP="005234AD">
      <w:r>
        <w:t xml:space="preserve">Anordningen sætter </w:t>
      </w:r>
      <w:r>
        <w:rPr>
          <w:szCs w:val="21"/>
        </w:rPr>
        <w:t xml:space="preserve">§ 1 i </w:t>
      </w:r>
      <w:r w:rsidRPr="0002608A">
        <w:rPr>
          <w:szCs w:val="21"/>
        </w:rPr>
        <w:t xml:space="preserve">lov nr. </w:t>
      </w:r>
      <w:r>
        <w:rPr>
          <w:szCs w:val="21"/>
        </w:rPr>
        <w:t>375 af 1</w:t>
      </w:r>
      <w:r w:rsidRPr="0002608A">
        <w:rPr>
          <w:szCs w:val="21"/>
        </w:rPr>
        <w:t xml:space="preserve">. </w:t>
      </w:r>
      <w:r>
        <w:rPr>
          <w:szCs w:val="21"/>
        </w:rPr>
        <w:t xml:space="preserve">maj 2018 </w:t>
      </w:r>
      <w:r>
        <w:t>i kraft for Grønland. Nedenfor er et resume af de væsentligste ændringer af lov</w:t>
      </w:r>
      <w:r w:rsidR="004B3C60">
        <w:t xml:space="preserve"> om</w:t>
      </w:r>
      <w:r>
        <w:t xml:space="preserve"> en garantifond</w:t>
      </w:r>
      <w:r w:rsidR="003E3023">
        <w:t xml:space="preserve"> for skadesforsikringsselskaber</w:t>
      </w:r>
      <w:r>
        <w:t>, og de væsentligste tilpasninger til grønlandsk forhold.</w:t>
      </w:r>
    </w:p>
    <w:p w14:paraId="2B56A8C7" w14:textId="233C5238" w:rsidR="00456FC4" w:rsidRDefault="00456FC4" w:rsidP="00456FC4">
      <w:pPr>
        <w:pStyle w:val="Underoverskrift"/>
        <w:numPr>
          <w:ilvl w:val="0"/>
          <w:numId w:val="10"/>
        </w:numPr>
      </w:pPr>
      <w:r w:rsidRPr="00456FC4">
        <w:t xml:space="preserve">Krav om medlemskab af Garantifonden for skadesforsikringsselskaber ved tegning af skadesforsikringsaftaler i </w:t>
      </w:r>
      <w:r w:rsidR="003E3023">
        <w:t>Grønland</w:t>
      </w:r>
    </w:p>
    <w:p w14:paraId="33EC70BB" w14:textId="5C2AEC62" w:rsidR="00456FC4" w:rsidRDefault="00394ED7" w:rsidP="00456FC4">
      <w:r>
        <w:t xml:space="preserve">Med anordningens § </w:t>
      </w:r>
      <w:r w:rsidR="008B152F">
        <w:t>6</w:t>
      </w:r>
      <w:r>
        <w:t xml:space="preserve">, nr. 5, indføres der et krav om, at </w:t>
      </w:r>
      <w:r w:rsidRPr="00394ED7">
        <w:t xml:space="preserve">direkte tegnende skadesforsikringsselskaber med hjemsted </w:t>
      </w:r>
      <w:r>
        <w:t xml:space="preserve">i </w:t>
      </w:r>
      <w:r w:rsidR="00932ADD">
        <w:t>EU</w:t>
      </w:r>
      <w:r w:rsidRPr="00394ED7">
        <w:t xml:space="preserve">, der via filial eller grænseoverskridende tjenesteydelsesvirksomhed driver forsikringsvirksomhed i </w:t>
      </w:r>
      <w:r>
        <w:t>Grønland</w:t>
      </w:r>
      <w:r w:rsidRPr="00394ED7">
        <w:t xml:space="preserve">, skal være medlem af og yde bidrag til </w:t>
      </w:r>
      <w:r>
        <w:t>Garantifonden.</w:t>
      </w:r>
    </w:p>
    <w:p w14:paraId="283E66CD" w14:textId="07075F9A" w:rsidR="00456FC4" w:rsidRDefault="00456FC4" w:rsidP="00456FC4"/>
    <w:p w14:paraId="6076F3C7" w14:textId="7A47EEDF" w:rsidR="00394ED7" w:rsidRDefault="00394ED7" w:rsidP="00456FC4">
      <w:r w:rsidRPr="00394ED7">
        <w:lastRenderedPageBreak/>
        <w:t>Kravet medfører, at direkte tegnende skadesf</w:t>
      </w:r>
      <w:r w:rsidR="00932ADD">
        <w:t>orsikringsselskaber med hjemsted</w:t>
      </w:r>
      <w:r w:rsidRPr="00394ED7">
        <w:t xml:space="preserve"> i EU, </w:t>
      </w:r>
      <w:r>
        <w:t>som</w:t>
      </w:r>
      <w:r w:rsidRPr="00394ED7">
        <w:t xml:space="preserve"> drive</w:t>
      </w:r>
      <w:r>
        <w:t>r</w:t>
      </w:r>
      <w:r w:rsidRPr="00394ED7">
        <w:t xml:space="preserve"> forsikringsvirksomhed i </w:t>
      </w:r>
      <w:r>
        <w:t xml:space="preserve">Grønland skal tilslutte sig og </w:t>
      </w:r>
      <w:r w:rsidRPr="00394ED7">
        <w:t xml:space="preserve">yde bidrag til </w:t>
      </w:r>
      <w:r>
        <w:t>Garantifonden</w:t>
      </w:r>
      <w:r w:rsidRPr="00394ED7">
        <w:t xml:space="preserve">. Dette svarer til, hvad der </w:t>
      </w:r>
      <w:r>
        <w:t>e</w:t>
      </w:r>
      <w:r w:rsidR="00CC65AC">
        <w:t>fter den gældende anordning</w:t>
      </w:r>
      <w:r>
        <w:t xml:space="preserve"> gælder</w:t>
      </w:r>
      <w:r w:rsidRPr="00394ED7">
        <w:t xml:space="preserve"> for de direkte tegnende skadesforsikringsselskaber, der har fået Finanstilsynets tilladelse til at drive forsikringsvirksomhed, og som i dag skal være medlem af og yde bidrag til </w:t>
      </w:r>
      <w:r>
        <w:t>Garantifonden</w:t>
      </w:r>
      <w:r w:rsidRPr="00394ED7">
        <w:t>.</w:t>
      </w:r>
    </w:p>
    <w:p w14:paraId="0FAFD909" w14:textId="219AAB59" w:rsidR="002503C6" w:rsidRDefault="002503C6" w:rsidP="00456FC4"/>
    <w:p w14:paraId="07FC2750" w14:textId="1E314A6C" w:rsidR="002503C6" w:rsidRDefault="002503C6" w:rsidP="002503C6">
      <w:r>
        <w:t>Der henvises til følgende ændringer:</w:t>
      </w:r>
    </w:p>
    <w:p w14:paraId="6F7CD0AC" w14:textId="0D1CDC12" w:rsidR="002503C6" w:rsidRDefault="002503C6" w:rsidP="002503C6">
      <w:r>
        <w:t xml:space="preserve"> </w:t>
      </w:r>
    </w:p>
    <w:p w14:paraId="45AC3459" w14:textId="75BB54B9" w:rsidR="002503C6" w:rsidRDefault="002503C6" w:rsidP="00456FC4">
      <w:r>
        <w:t xml:space="preserve">§ </w:t>
      </w:r>
      <w:r w:rsidR="008D2235">
        <w:t>6</w:t>
      </w:r>
      <w:r>
        <w:t>, nr. 4 og 5.</w:t>
      </w:r>
    </w:p>
    <w:p w14:paraId="595B31B8" w14:textId="1F8F37FD" w:rsidR="00394ED7" w:rsidRDefault="00394ED7" w:rsidP="007F2F31">
      <w:pPr>
        <w:pStyle w:val="Underoverskrift"/>
        <w:numPr>
          <w:ilvl w:val="1"/>
          <w:numId w:val="6"/>
        </w:numPr>
        <w:ind w:left="426" w:hanging="426"/>
      </w:pPr>
      <w:r>
        <w:t xml:space="preserve">Tilpasninger til </w:t>
      </w:r>
      <w:r w:rsidR="00344CA6">
        <w:t xml:space="preserve">de </w:t>
      </w:r>
      <w:r>
        <w:t>grønlandske forhold</w:t>
      </w:r>
    </w:p>
    <w:p w14:paraId="55D6AAC0" w14:textId="19CA16CB" w:rsidR="00CC65AC" w:rsidRDefault="00CC65AC" w:rsidP="00394ED7">
      <w:r>
        <w:t>A</w:t>
      </w:r>
      <w:r w:rsidRPr="00CC65AC">
        <w:t>nordningen</w:t>
      </w:r>
      <w:r>
        <w:t xml:space="preserve"> er tilpasset, så det fremgår</w:t>
      </w:r>
      <w:r w:rsidRPr="00CC65AC">
        <w:t>, at Garantifonden dækker risici i Grønland, såfremt et skadesforsikringsselskab går konkurs.</w:t>
      </w:r>
    </w:p>
    <w:p w14:paraId="124A4A02" w14:textId="77777777" w:rsidR="00CC65AC" w:rsidRDefault="00CC65AC" w:rsidP="00394ED7"/>
    <w:p w14:paraId="72D73FC9" w14:textId="2228882F" w:rsidR="00394ED7" w:rsidRDefault="00CC65AC" w:rsidP="00394ED7">
      <w:r w:rsidRPr="00CC65AC">
        <w:t>Der er ligeledes lavet sproglige tilpasninge</w:t>
      </w:r>
      <w:r>
        <w:t>r, så anordningen ikke giver an</w:t>
      </w:r>
      <w:r w:rsidRPr="00CC65AC">
        <w:t xml:space="preserve">ledning til den opfattelse, at Grønland er </w:t>
      </w:r>
      <w:r w:rsidR="00932ADD">
        <w:t>medlem af</w:t>
      </w:r>
      <w:r w:rsidRPr="00CC65AC">
        <w:t xml:space="preserve"> EU.</w:t>
      </w:r>
    </w:p>
    <w:p w14:paraId="6B613BE4" w14:textId="64019ADE" w:rsidR="00394ED7" w:rsidRDefault="00394ED7" w:rsidP="00394ED7"/>
    <w:p w14:paraId="2C9F2911" w14:textId="2EAE3757" w:rsidR="00CC65AC" w:rsidRPr="00394ED7" w:rsidRDefault="00CC65AC" w:rsidP="00394ED7">
      <w:r>
        <w:t xml:space="preserve">Bestemmelsen i anordningens § </w:t>
      </w:r>
      <w:r w:rsidR="00EE4EE5">
        <w:t>6</w:t>
      </w:r>
      <w:r>
        <w:t>, nr. 4, sættes ikke i kraft for Grønland, da bestemmelsen i § 1, nr. 4, i lov nr. 375 af 1. maj 2018 var udtryk for en lovteknisk fejl.</w:t>
      </w:r>
      <w:r w:rsidR="00EE4EE5" w:rsidRPr="00EE4EE5">
        <w:t xml:space="preserve"> </w:t>
      </w:r>
    </w:p>
    <w:p w14:paraId="76DF2829" w14:textId="390C32AE" w:rsidR="00456FC4" w:rsidRDefault="00456FC4" w:rsidP="00456FC4">
      <w:pPr>
        <w:pStyle w:val="Underoverskrift"/>
      </w:pPr>
      <w:r w:rsidRPr="00456FC4">
        <w:t>Ændring af dækningsområdet</w:t>
      </w:r>
      <w:r>
        <w:t xml:space="preserve"> for Garantifonden for skadesfor</w:t>
      </w:r>
      <w:r w:rsidRPr="00456FC4">
        <w:t>sikringsselskabe</w:t>
      </w:r>
      <w:r>
        <w:t>r</w:t>
      </w:r>
    </w:p>
    <w:p w14:paraId="7315C82E" w14:textId="75AD70F8" w:rsidR="00456FC4" w:rsidRDefault="00CC65AC" w:rsidP="00456FC4">
      <w:r>
        <w:t xml:space="preserve">Med anordningen ændres Garantifondens </w:t>
      </w:r>
      <w:r w:rsidRPr="00CC65AC">
        <w:t xml:space="preserve">dækningsområde til at omfatte skadesforsikringsselskabernes virksomhed i </w:t>
      </w:r>
      <w:r>
        <w:t>Grønland og Danmark</w:t>
      </w:r>
      <w:r w:rsidRPr="00CC65AC">
        <w:t xml:space="preserve"> for risici i </w:t>
      </w:r>
      <w:r>
        <w:t>Grønland og Danmark</w:t>
      </w:r>
      <w:r w:rsidRPr="00CC65AC">
        <w:t xml:space="preserve">. Der er tale om en indskrænkning af dækningsområdet for de direkte tegnende skadesforsikringsselskaber, der har fået Finanstilsynets tilladelse til at drive forsikringsvirksomhed, og som via filial eller grænseoverskridende tjenesteydelsesvirksomhed tegner skadesforsikringsaftaler i EU-lande, der er dækket af </w:t>
      </w:r>
      <w:r>
        <w:t>Garantifonden</w:t>
      </w:r>
      <w:r w:rsidRPr="00CC65AC">
        <w:t>.</w:t>
      </w:r>
    </w:p>
    <w:p w14:paraId="057CB7C9" w14:textId="035ACDA2" w:rsidR="002503C6" w:rsidRDefault="002503C6" w:rsidP="00456FC4"/>
    <w:p w14:paraId="7FA649CC" w14:textId="77777777" w:rsidR="002503C6" w:rsidRDefault="002503C6" w:rsidP="002503C6">
      <w:r>
        <w:t>Der henvises til følgende ændringer:</w:t>
      </w:r>
    </w:p>
    <w:p w14:paraId="296A03AF" w14:textId="77777777" w:rsidR="002503C6" w:rsidRDefault="002503C6" w:rsidP="002503C6">
      <w:r>
        <w:t xml:space="preserve"> </w:t>
      </w:r>
    </w:p>
    <w:p w14:paraId="4D8F80D0" w14:textId="5D4D72E2" w:rsidR="002503C6" w:rsidRDefault="002503C6" w:rsidP="00456FC4">
      <w:r>
        <w:t xml:space="preserve">§ </w:t>
      </w:r>
      <w:r w:rsidR="008D2235">
        <w:t>6</w:t>
      </w:r>
      <w:r>
        <w:t>, nr. 1</w:t>
      </w:r>
      <w:r w:rsidR="0088186B">
        <w:t>-3,</w:t>
      </w:r>
      <w:r>
        <w:t xml:space="preserve"> 7-10, 12-15, og 17-23.</w:t>
      </w:r>
    </w:p>
    <w:p w14:paraId="03329F4C" w14:textId="2179ED52" w:rsidR="00344CA6" w:rsidRDefault="00344CA6" w:rsidP="007F2F31">
      <w:pPr>
        <w:pStyle w:val="Underoverskrift"/>
        <w:numPr>
          <w:ilvl w:val="1"/>
          <w:numId w:val="6"/>
        </w:numPr>
        <w:ind w:left="426" w:hanging="426"/>
      </w:pPr>
      <w:r>
        <w:t>Tilpasninger til de grønlandske forhold</w:t>
      </w:r>
    </w:p>
    <w:p w14:paraId="77614B6A" w14:textId="1A0E87EA" w:rsidR="002503C6" w:rsidRDefault="002503C6" w:rsidP="00344CA6">
      <w:r w:rsidRPr="002503C6">
        <w:t>Bestem</w:t>
      </w:r>
      <w:r>
        <w:t xml:space="preserve">melsen i anordningens § </w:t>
      </w:r>
      <w:r w:rsidR="00344D65">
        <w:t>6</w:t>
      </w:r>
      <w:r>
        <w:t>, nr. 1</w:t>
      </w:r>
      <w:r w:rsidRPr="002503C6">
        <w:t>, sættes ikke i kraft for Grønla</w:t>
      </w:r>
      <w:r>
        <w:t>nd, da bestemmelsen i § 1, nr. 1</w:t>
      </w:r>
      <w:r w:rsidRPr="002503C6">
        <w:t>, i lov nr. 375 af 1. maj 2018 var udtryk for en lovteknisk fejl.</w:t>
      </w:r>
    </w:p>
    <w:p w14:paraId="2635D46E" w14:textId="77777777" w:rsidR="00344D65" w:rsidRDefault="00344D65" w:rsidP="00344CA6"/>
    <w:p w14:paraId="0FAFED11" w14:textId="7EA3EBAD" w:rsidR="00344CA6" w:rsidRDefault="00344CA6" w:rsidP="00344CA6">
      <w:r>
        <w:t xml:space="preserve">Anordningen </w:t>
      </w:r>
      <w:r w:rsidR="00E47C8D">
        <w:t>medfører</w:t>
      </w:r>
      <w:r>
        <w:t xml:space="preserve"> den tilpasning, at Garantifonden dækker, </w:t>
      </w:r>
      <w:r w:rsidR="004B3C60">
        <w:t>hvis</w:t>
      </w:r>
      <w:r>
        <w:t xml:space="preserve"> et skadesforsikringsselskab, som har udøvet forsikringsvirksomhed i Grønland, bliver erklæret konkurs.</w:t>
      </w:r>
    </w:p>
    <w:p w14:paraId="705F1314" w14:textId="77777777" w:rsidR="00344CA6" w:rsidRDefault="00344CA6" w:rsidP="00344CA6"/>
    <w:p w14:paraId="5D9233C9" w14:textId="061DB149" w:rsidR="00344CA6" w:rsidRPr="00344CA6" w:rsidRDefault="00344CA6" w:rsidP="00344CA6">
      <w:r>
        <w:lastRenderedPageBreak/>
        <w:t>Med anordningen tilpasses henvis</w:t>
      </w:r>
      <w:r w:rsidR="00344D65">
        <w:t>ningerne</w:t>
      </w:r>
      <w:r>
        <w:t xml:space="preserve"> til de relevante grønlandske love, som ikke </w:t>
      </w:r>
      <w:r w:rsidR="002503C6">
        <w:t xml:space="preserve">skal </w:t>
      </w:r>
      <w:r>
        <w:t>finde anvendelse for Garantifonden.</w:t>
      </w:r>
    </w:p>
    <w:p w14:paraId="2E19CEC1" w14:textId="12D7F385" w:rsidR="00456FC4" w:rsidRDefault="00456FC4" w:rsidP="00456FC4">
      <w:pPr>
        <w:pStyle w:val="Underoverskrift"/>
      </w:pPr>
      <w:r w:rsidRPr="00456FC4">
        <w:t>Udvidelse af dækningsperioden for visse skadesforsikringsaftaler, der ikke kan gentegnes</w:t>
      </w:r>
    </w:p>
    <w:p w14:paraId="01A5F6F5" w14:textId="1637032E" w:rsidR="00344CA6" w:rsidRDefault="00E47C8D" w:rsidP="00344CA6">
      <w:r>
        <w:t>Anordni</w:t>
      </w:r>
      <w:r w:rsidR="002503C6">
        <w:t>ngen medfører, at Garantifonden dækker erstatningskrav i henhold til e</w:t>
      </w:r>
      <w:r w:rsidR="002503C6" w:rsidRPr="002503C6">
        <w:t>n ejerskifteforsikring, en sælgeransvarsforsikring og en byggeskadeforsikring</w:t>
      </w:r>
      <w:r w:rsidR="002503C6">
        <w:t xml:space="preserve"> tegnet for risici i Grønland</w:t>
      </w:r>
      <w:r w:rsidR="002503C6" w:rsidRPr="002503C6">
        <w:t xml:space="preserve"> i hele forsikringens løbetid.</w:t>
      </w:r>
    </w:p>
    <w:p w14:paraId="5781B4CE" w14:textId="3057DFA6" w:rsidR="002503C6" w:rsidRDefault="002503C6" w:rsidP="00344CA6"/>
    <w:p w14:paraId="0AF8D92F" w14:textId="77777777" w:rsidR="002503C6" w:rsidRDefault="002503C6" w:rsidP="002503C6">
      <w:r>
        <w:t>Der henvises til følgende ændringer:</w:t>
      </w:r>
    </w:p>
    <w:p w14:paraId="07B09E45" w14:textId="77777777" w:rsidR="002503C6" w:rsidRDefault="002503C6" w:rsidP="002503C6">
      <w:r>
        <w:t xml:space="preserve"> </w:t>
      </w:r>
    </w:p>
    <w:p w14:paraId="362BAA43" w14:textId="3C26F63E" w:rsidR="002503C6" w:rsidRDefault="002503C6" w:rsidP="00344CA6">
      <w:r>
        <w:t xml:space="preserve">§ </w:t>
      </w:r>
      <w:r w:rsidR="003F55B0">
        <w:t>6</w:t>
      </w:r>
      <w:r>
        <w:t>, nr. 11, 13 og 16.</w:t>
      </w:r>
    </w:p>
    <w:p w14:paraId="1A8F8FEB" w14:textId="6F3A2415" w:rsidR="002503C6" w:rsidRDefault="002503C6" w:rsidP="002503C6">
      <w:pPr>
        <w:pStyle w:val="Underoverskrift"/>
      </w:pPr>
      <w:r>
        <w:t>Bestemmelser om videregivelse af nødvendige oplysninger til Garantifonden og forbud mod udøvelse af forsikringsvirksomhed</w:t>
      </w:r>
    </w:p>
    <w:p w14:paraId="0DD98B0A" w14:textId="40D5FC6F" w:rsidR="002503C6" w:rsidRDefault="00CB7ADA" w:rsidP="002503C6">
      <w:r>
        <w:t xml:space="preserve">Ændringerne </w:t>
      </w:r>
      <w:r w:rsidR="002503C6">
        <w:t xml:space="preserve">medfører, at </w:t>
      </w:r>
      <w:r w:rsidR="002503C6" w:rsidRPr="002503C6">
        <w:t>en forsikringstager med øjeblikkeligt varsel kan opsige en forsikringsaftale, hvis Finanstilsynet forbyder et forsikringsselskab fra et EU</w:t>
      </w:r>
      <w:r w:rsidR="0088186B">
        <w:t>-land</w:t>
      </w:r>
      <w:r w:rsidR="002503C6" w:rsidRPr="002503C6">
        <w:t xml:space="preserve"> at udøve virksomhed i </w:t>
      </w:r>
      <w:r w:rsidR="002503C6">
        <w:t>Grønland</w:t>
      </w:r>
      <w:r w:rsidR="002503C6" w:rsidRPr="002503C6">
        <w:t xml:space="preserve"> via filial eller grænseoverskridende tjenesteydelsesvirksomhed</w:t>
      </w:r>
      <w:r>
        <w:t>.</w:t>
      </w:r>
    </w:p>
    <w:p w14:paraId="0793C430" w14:textId="77777777" w:rsidR="002503C6" w:rsidRDefault="002503C6" w:rsidP="002503C6"/>
    <w:p w14:paraId="24873C88" w14:textId="6C4216C6" w:rsidR="002503C6" w:rsidRDefault="00CB7ADA" w:rsidP="002503C6">
      <w:r>
        <w:t xml:space="preserve">Ændringerne </w:t>
      </w:r>
      <w:r w:rsidR="002503C6">
        <w:t xml:space="preserve">indebærer </w:t>
      </w:r>
      <w:r>
        <w:t xml:space="preserve">også </w:t>
      </w:r>
      <w:r w:rsidR="002503C6">
        <w:t>en forpligtelse til, at Garantifondens medlemmer i tilfælde af konkurs skal give Garantifonden oplysninger, som er nødvendige for, at Garantifonden skal opfylde sine forpligtelser i henhold til loven.</w:t>
      </w:r>
    </w:p>
    <w:p w14:paraId="5B64206A" w14:textId="05872934" w:rsidR="002503C6" w:rsidRDefault="002503C6" w:rsidP="002503C6"/>
    <w:p w14:paraId="2D445582" w14:textId="7EACA09A" w:rsidR="002503C6" w:rsidRDefault="002503C6" w:rsidP="002503C6">
      <w:r>
        <w:t>Endvidere medfører</w:t>
      </w:r>
      <w:r w:rsidR="00CB7ADA">
        <w:t>ændringerne</w:t>
      </w:r>
      <w:r>
        <w:t>, at Garantifondens medlemmer ikke får tilbagebetalt indbetalte bidrag i tilfælde af medlemmers konkurs.</w:t>
      </w:r>
    </w:p>
    <w:p w14:paraId="3194317A" w14:textId="0DED9B6C" w:rsidR="002503C6" w:rsidRDefault="002503C6" w:rsidP="002503C6"/>
    <w:p w14:paraId="6F7044E4" w14:textId="12D3DCBF" w:rsidR="002503C6" w:rsidRDefault="002503C6" w:rsidP="002503C6">
      <w:r>
        <w:t>Der henvises til følgende ændringer:</w:t>
      </w:r>
    </w:p>
    <w:p w14:paraId="64C854D1" w14:textId="46580C9C" w:rsidR="002503C6" w:rsidRDefault="002503C6" w:rsidP="002503C6"/>
    <w:p w14:paraId="0841B876" w14:textId="3F9A2BD5" w:rsidR="002503C6" w:rsidRDefault="002503C6" w:rsidP="002503C6">
      <w:r>
        <w:t xml:space="preserve">§ </w:t>
      </w:r>
      <w:r w:rsidR="00CB7ADA">
        <w:t>6</w:t>
      </w:r>
      <w:r>
        <w:t>, nr. 6 og 24-26.</w:t>
      </w:r>
    </w:p>
    <w:p w14:paraId="3DDACC15" w14:textId="77777777" w:rsidR="00350B75" w:rsidRDefault="00350B75" w:rsidP="00350B75">
      <w:pPr>
        <w:pStyle w:val="Underoverskrift"/>
        <w:numPr>
          <w:ilvl w:val="1"/>
          <w:numId w:val="6"/>
        </w:numPr>
        <w:ind w:left="426" w:hanging="426"/>
      </w:pPr>
      <w:r>
        <w:t>Tilpasninger til de grønlandske forhold</w:t>
      </w:r>
    </w:p>
    <w:p w14:paraId="61FE3260" w14:textId="1F8002C2" w:rsidR="002503C6" w:rsidRDefault="00350B75" w:rsidP="002503C6">
      <w:r>
        <w:t xml:space="preserve">Anordningen er tilpasset, så </w:t>
      </w:r>
      <w:r w:rsidR="00B07E41">
        <w:t>der henvises korrekt til de for Grønland gældende regler</w:t>
      </w:r>
      <w:r w:rsidR="00720AB8">
        <w:t>.</w:t>
      </w:r>
      <w:r w:rsidR="00B07E41">
        <w:t xml:space="preserve"> </w:t>
      </w:r>
    </w:p>
    <w:p w14:paraId="33D34A61" w14:textId="1C4618B4" w:rsidR="002503C6" w:rsidRDefault="002503C6" w:rsidP="002503C6">
      <w:pPr>
        <w:pStyle w:val="Overskrift2"/>
        <w:jc w:val="center"/>
      </w:pPr>
      <w:r>
        <w:t xml:space="preserve">§ </w:t>
      </w:r>
      <w:r w:rsidR="00C95EBC">
        <w:t>7</w:t>
      </w:r>
    </w:p>
    <w:p w14:paraId="211BC914" w14:textId="482E8443" w:rsidR="002503C6" w:rsidRDefault="002503C6" w:rsidP="002503C6">
      <w:r>
        <w:t xml:space="preserve">Anordningen sætter </w:t>
      </w:r>
      <w:r w:rsidRPr="0002608A">
        <w:rPr>
          <w:szCs w:val="21"/>
        </w:rPr>
        <w:t xml:space="preserve">§ 1 i lov nr. </w:t>
      </w:r>
      <w:r>
        <w:rPr>
          <w:szCs w:val="21"/>
        </w:rPr>
        <w:t>706 af 8. juni 2018</w:t>
      </w:r>
      <w:r w:rsidRPr="0002608A">
        <w:rPr>
          <w:szCs w:val="21"/>
        </w:rPr>
        <w:t xml:space="preserve"> </w:t>
      </w:r>
      <w:r>
        <w:t>i kraft for Grønland. Nedenfor er et resume af de væsentligste ændringer af lov</w:t>
      </w:r>
      <w:r w:rsidR="004B3C60">
        <w:t xml:space="preserve"> om</w:t>
      </w:r>
      <w:r>
        <w:t xml:space="preserve"> en garantifond</w:t>
      </w:r>
      <w:r w:rsidR="00C95EBC">
        <w:t xml:space="preserve"> for skadesforsikringsselskaber.</w:t>
      </w:r>
    </w:p>
    <w:p w14:paraId="35CB51E6" w14:textId="12A61B60" w:rsidR="002503C6" w:rsidRDefault="002503C6" w:rsidP="002503C6">
      <w:pPr>
        <w:pStyle w:val="Underoverskrift"/>
        <w:numPr>
          <w:ilvl w:val="0"/>
          <w:numId w:val="11"/>
        </w:numPr>
      </w:pPr>
      <w:r>
        <w:t>Digital kommunikation</w:t>
      </w:r>
    </w:p>
    <w:p w14:paraId="2EE1D2CE" w14:textId="3B94D422" w:rsidR="002503C6" w:rsidRDefault="00C95EBC" w:rsidP="002503C6">
      <w:r>
        <w:t xml:space="preserve">Ændringen til § 15 b </w:t>
      </w:r>
      <w:r w:rsidR="002503C6">
        <w:t xml:space="preserve">medfører, at en </w:t>
      </w:r>
      <w:r w:rsidR="002503C6" w:rsidRPr="00FA3970">
        <w:rPr>
          <w:szCs w:val="21"/>
        </w:rPr>
        <w:t>digital meddelelse anses for at være kommet frem, når den er tilgængelig for adressaten for meddelelsen</w:t>
      </w:r>
      <w:r w:rsidR="002503C6">
        <w:rPr>
          <w:szCs w:val="21"/>
        </w:rPr>
        <w:t>.</w:t>
      </w:r>
    </w:p>
    <w:p w14:paraId="439491DE" w14:textId="5C81CF88" w:rsidR="002503C6" w:rsidRDefault="002503C6" w:rsidP="002503C6"/>
    <w:p w14:paraId="6ADE2C98" w14:textId="77777777" w:rsidR="002503C6" w:rsidRDefault="002503C6" w:rsidP="002503C6">
      <w:r>
        <w:lastRenderedPageBreak/>
        <w:t>Der henvises til følgende ændringer:</w:t>
      </w:r>
    </w:p>
    <w:p w14:paraId="6861ACF1" w14:textId="77777777" w:rsidR="002503C6" w:rsidRDefault="002503C6" w:rsidP="002503C6">
      <w:r>
        <w:t xml:space="preserve"> </w:t>
      </w:r>
    </w:p>
    <w:p w14:paraId="5C52610B" w14:textId="579AF55E" w:rsidR="002503C6" w:rsidRDefault="002503C6" w:rsidP="002503C6">
      <w:r>
        <w:t xml:space="preserve">§ </w:t>
      </w:r>
      <w:r w:rsidR="00C95EBC">
        <w:t>7</w:t>
      </w:r>
      <w:r>
        <w:t>, nr. 1 og 2.</w:t>
      </w:r>
    </w:p>
    <w:p w14:paraId="34B1F383" w14:textId="6EC3E8E5" w:rsidR="002503C6" w:rsidRDefault="002503C6" w:rsidP="002503C6">
      <w:pPr>
        <w:pStyle w:val="Overskrift2"/>
        <w:jc w:val="center"/>
      </w:pPr>
      <w:r>
        <w:t xml:space="preserve">§ </w:t>
      </w:r>
      <w:r w:rsidR="00C95EBC">
        <w:t>8</w:t>
      </w:r>
    </w:p>
    <w:p w14:paraId="753D79A0" w14:textId="6CCA798C" w:rsidR="002503C6" w:rsidRDefault="002503C6" w:rsidP="002503C6">
      <w:r>
        <w:t xml:space="preserve">Anordningen sætter </w:t>
      </w:r>
      <w:r w:rsidRPr="0002608A">
        <w:rPr>
          <w:szCs w:val="21"/>
        </w:rPr>
        <w:t>§ 1</w:t>
      </w:r>
      <w:r>
        <w:rPr>
          <w:szCs w:val="21"/>
        </w:rPr>
        <w:t>5</w:t>
      </w:r>
      <w:r w:rsidRPr="0002608A">
        <w:rPr>
          <w:szCs w:val="21"/>
        </w:rPr>
        <w:t xml:space="preserve"> i lov nr. </w:t>
      </w:r>
      <w:r>
        <w:rPr>
          <w:szCs w:val="21"/>
        </w:rPr>
        <w:t>552 af 7. maj 2019</w:t>
      </w:r>
      <w:r w:rsidRPr="0002608A">
        <w:rPr>
          <w:szCs w:val="21"/>
        </w:rPr>
        <w:t xml:space="preserve"> </w:t>
      </w:r>
      <w:r>
        <w:t>i kraft for Grønland. Nedenfor er et resume af de væsentligste ændringer af lov</w:t>
      </w:r>
      <w:r w:rsidR="004B3C60">
        <w:t xml:space="preserve"> om</w:t>
      </w:r>
      <w:r>
        <w:t xml:space="preserve"> en garantifond</w:t>
      </w:r>
      <w:r w:rsidR="00C95EBC">
        <w:t xml:space="preserve"> for skadesforsikringsselskaber.</w:t>
      </w:r>
    </w:p>
    <w:p w14:paraId="6716EA0F" w14:textId="175DE3C1" w:rsidR="002503C6" w:rsidRDefault="002503C6" w:rsidP="002503C6">
      <w:pPr>
        <w:pStyle w:val="Underoverskrift"/>
        <w:numPr>
          <w:ilvl w:val="0"/>
          <w:numId w:val="12"/>
        </w:numPr>
      </w:pPr>
      <w:r>
        <w:t>Anbringelse af Garantifondens midler</w:t>
      </w:r>
    </w:p>
    <w:p w14:paraId="08F19FCC" w14:textId="2EA5E07A" w:rsidR="002503C6" w:rsidRDefault="00145952" w:rsidP="002503C6">
      <w:r>
        <w:t xml:space="preserve">Ændringen til § 11 a </w:t>
      </w:r>
      <w:r w:rsidR="002503C6">
        <w:t>medfører, at</w:t>
      </w:r>
      <w:r w:rsidR="002503C6" w:rsidRPr="002503C6">
        <w:t xml:space="preserve"> </w:t>
      </w:r>
      <w:r w:rsidR="002503C6">
        <w:t>Garantifo</w:t>
      </w:r>
      <w:r w:rsidR="002503C6" w:rsidRPr="002503C6">
        <w:t xml:space="preserve">ndens formue </w:t>
      </w:r>
      <w:r w:rsidR="002503C6">
        <w:t>skal</w:t>
      </w:r>
      <w:r w:rsidR="002503C6" w:rsidRPr="002503C6">
        <w:t xml:space="preserve"> anbringes forsvarligt og bedst muligt og forvaltes af Danmarks Nationalbank efter nærmere aftale med </w:t>
      </w:r>
      <w:r w:rsidR="002503C6">
        <w:t>Garantifonden.</w:t>
      </w:r>
    </w:p>
    <w:p w14:paraId="3F3BBDD3" w14:textId="1E29A88F" w:rsidR="002503C6" w:rsidRDefault="002503C6" w:rsidP="002503C6"/>
    <w:p w14:paraId="23BF5F97" w14:textId="121C3698" w:rsidR="002503C6" w:rsidRDefault="002503C6" w:rsidP="002503C6">
      <w:r>
        <w:t>Der henvises til følgende ændring:</w:t>
      </w:r>
    </w:p>
    <w:p w14:paraId="7FC2DE98" w14:textId="77777777" w:rsidR="002503C6" w:rsidRDefault="002503C6" w:rsidP="002503C6">
      <w:r>
        <w:t xml:space="preserve"> </w:t>
      </w:r>
    </w:p>
    <w:p w14:paraId="3F344560" w14:textId="2CA18276" w:rsidR="002503C6" w:rsidRDefault="002503C6" w:rsidP="002503C6">
      <w:r>
        <w:t xml:space="preserve">§ </w:t>
      </w:r>
      <w:r w:rsidR="00145952">
        <w:t>8</w:t>
      </w:r>
      <w:r>
        <w:t>, nr. 1.</w:t>
      </w:r>
    </w:p>
    <w:p w14:paraId="06715AC5" w14:textId="4B16B00C" w:rsidR="002503C6" w:rsidRDefault="002503C6" w:rsidP="002503C6">
      <w:pPr>
        <w:pStyle w:val="Overskrift2"/>
        <w:jc w:val="center"/>
      </w:pPr>
      <w:r>
        <w:t xml:space="preserve">§ </w:t>
      </w:r>
      <w:r w:rsidR="00145952">
        <w:t>9</w:t>
      </w:r>
    </w:p>
    <w:p w14:paraId="41397F73" w14:textId="406CABA1" w:rsidR="002503C6" w:rsidRDefault="002503C6" w:rsidP="002503C6">
      <w:r>
        <w:t xml:space="preserve">Anordningen sætter </w:t>
      </w:r>
      <w:r w:rsidRPr="00837300">
        <w:rPr>
          <w:szCs w:val="21"/>
        </w:rPr>
        <w:t>§ 12</w:t>
      </w:r>
      <w:r w:rsidRPr="0002608A">
        <w:rPr>
          <w:szCs w:val="21"/>
        </w:rPr>
        <w:t xml:space="preserve"> i lov nr. </w:t>
      </w:r>
      <w:r>
        <w:rPr>
          <w:szCs w:val="21"/>
        </w:rPr>
        <w:t xml:space="preserve">1374 af 13. december 2019 </w:t>
      </w:r>
      <w:r>
        <w:t>i kraft for Grønland. Nedenfor er et resume af de væsentligste ændringer af lov</w:t>
      </w:r>
      <w:r w:rsidR="004B3C60">
        <w:t xml:space="preserve"> om</w:t>
      </w:r>
      <w:r>
        <w:t xml:space="preserve"> en garantifond</w:t>
      </w:r>
      <w:r w:rsidR="001C0FBB">
        <w:t xml:space="preserve"> for skadesforsikringsselskaber.</w:t>
      </w:r>
    </w:p>
    <w:p w14:paraId="78D3FC71" w14:textId="589A4E9D" w:rsidR="002503C6" w:rsidRDefault="002503C6" w:rsidP="002503C6">
      <w:pPr>
        <w:pStyle w:val="Underoverskrift"/>
        <w:numPr>
          <w:ilvl w:val="0"/>
          <w:numId w:val="13"/>
        </w:numPr>
      </w:pPr>
      <w:r>
        <w:t xml:space="preserve">Dækning af erstatningskrav i henhold til en byggeskadeforsikring tegnet i </w:t>
      </w:r>
      <w:proofErr w:type="spellStart"/>
      <w:r>
        <w:t>Qudos</w:t>
      </w:r>
      <w:proofErr w:type="spellEnd"/>
      <w:r>
        <w:t xml:space="preserve"> Insurance A/S</w:t>
      </w:r>
    </w:p>
    <w:p w14:paraId="32C6CF7D" w14:textId="24010F37" w:rsidR="002503C6" w:rsidRDefault="008F514F" w:rsidP="002503C6">
      <w:r>
        <w:t>Med a</w:t>
      </w:r>
      <w:r w:rsidR="002503C6">
        <w:t>nordningen</w:t>
      </w:r>
      <w:r>
        <w:t xml:space="preserve"> indsættes en ny bestemmelse, § 5 b.</w:t>
      </w:r>
      <w:r w:rsidR="002503C6">
        <w:t xml:space="preserve"> </w:t>
      </w:r>
      <w:r>
        <w:t xml:space="preserve">Det </w:t>
      </w:r>
      <w:r w:rsidR="002503C6">
        <w:t xml:space="preserve">medfører, at </w:t>
      </w:r>
      <w:r w:rsidR="003B5E56">
        <w:t>Garantifonden</w:t>
      </w:r>
      <w:r w:rsidR="003B5E56" w:rsidRPr="003B5E56">
        <w:t xml:space="preserve"> dækker erstatningskrav i henhold til en byggeskadeforsikring tegnet i </w:t>
      </w:r>
      <w:proofErr w:type="spellStart"/>
      <w:r w:rsidR="003B5E56" w:rsidRPr="003B5E56">
        <w:t>Qudos</w:t>
      </w:r>
      <w:proofErr w:type="spellEnd"/>
      <w:r w:rsidR="003B5E56" w:rsidRPr="003B5E56">
        <w:t xml:space="preserve"> Insurance A/S i hele forsikringens løbetid. Det er en forudsætning for dækning efter bestemmelsen, at bygherren, der har tegnet en byggeskadeforsikring i </w:t>
      </w:r>
      <w:proofErr w:type="spellStart"/>
      <w:r w:rsidR="003B5E56" w:rsidRPr="003B5E56">
        <w:t>Qudos</w:t>
      </w:r>
      <w:proofErr w:type="spellEnd"/>
      <w:r w:rsidR="003B5E56" w:rsidRPr="003B5E56">
        <w:t xml:space="preserve"> Insurance A/S, er taget under konkursbehandling i forsikringens løbetid, og at sikrede ikke er dækket af en anden byggeskadeforsikring. I andre tilfælde dækker </w:t>
      </w:r>
      <w:r w:rsidR="003B5E56">
        <w:t>Garantifonden</w:t>
      </w:r>
      <w:r w:rsidR="003B5E56" w:rsidRPr="003B5E56">
        <w:t xml:space="preserve"> alene erstatningskrav i henhold til en byggeskadeforsikring i </w:t>
      </w:r>
      <w:proofErr w:type="spellStart"/>
      <w:r w:rsidR="003B5E56" w:rsidRPr="003B5E56">
        <w:t>Qudos</w:t>
      </w:r>
      <w:proofErr w:type="spellEnd"/>
      <w:r w:rsidR="003B5E56" w:rsidRPr="003B5E56">
        <w:t xml:space="preserve"> Insurance A/S, der er anmeldt til </w:t>
      </w:r>
      <w:r w:rsidR="003B5E56">
        <w:t>Garantifonden</w:t>
      </w:r>
      <w:r w:rsidR="003B5E56" w:rsidRPr="003B5E56">
        <w:t xml:space="preserve"> senest 6 måneder efter konkursdekretets afsigelse.</w:t>
      </w:r>
    </w:p>
    <w:p w14:paraId="5A0DAEBA" w14:textId="77777777" w:rsidR="00347ED6" w:rsidRDefault="00347ED6" w:rsidP="00347ED6"/>
    <w:p w14:paraId="59F4FB19" w14:textId="77777777" w:rsidR="00347ED6" w:rsidRDefault="00347ED6" w:rsidP="00347ED6">
      <w:r>
        <w:t>Der henvises til følgende ændringer:</w:t>
      </w:r>
    </w:p>
    <w:p w14:paraId="2651CCA5" w14:textId="77777777" w:rsidR="00347ED6" w:rsidRDefault="00347ED6" w:rsidP="00347ED6">
      <w:r>
        <w:t xml:space="preserve"> </w:t>
      </w:r>
    </w:p>
    <w:p w14:paraId="5B165169" w14:textId="2C193577" w:rsidR="008F514F" w:rsidRPr="008F514F" w:rsidRDefault="00347ED6" w:rsidP="008F514F">
      <w:r>
        <w:t>§ 9, nr. 1 og 2.</w:t>
      </w:r>
    </w:p>
    <w:p w14:paraId="2B41DB22" w14:textId="527FD6A9" w:rsidR="003B5E56" w:rsidRDefault="003B5E56" w:rsidP="003B5E56">
      <w:pPr>
        <w:pStyle w:val="Overskrift2"/>
        <w:jc w:val="center"/>
      </w:pPr>
      <w:r>
        <w:t xml:space="preserve">§ </w:t>
      </w:r>
      <w:r w:rsidR="00F86811">
        <w:t>10</w:t>
      </w:r>
    </w:p>
    <w:p w14:paraId="7921F986" w14:textId="7D6D3DC6" w:rsidR="003B5E56" w:rsidRDefault="003B5E56" w:rsidP="002503C6">
      <w:r>
        <w:t xml:space="preserve">Anordningen sætter </w:t>
      </w:r>
      <w:r w:rsidRPr="0002608A">
        <w:rPr>
          <w:szCs w:val="21"/>
        </w:rPr>
        <w:t xml:space="preserve">§ 1 i lov nr. </w:t>
      </w:r>
      <w:r>
        <w:rPr>
          <w:szCs w:val="21"/>
        </w:rPr>
        <w:t>1163 af 8. juni 2021</w:t>
      </w:r>
      <w:r w:rsidRPr="0002608A">
        <w:rPr>
          <w:szCs w:val="21"/>
        </w:rPr>
        <w:t xml:space="preserve"> </w:t>
      </w:r>
      <w:r>
        <w:t>i kraft for Grønland. Nedenfor er et resume af de væsentligste ændringer af lov</w:t>
      </w:r>
      <w:r w:rsidR="004B3C60">
        <w:t xml:space="preserve"> om</w:t>
      </w:r>
      <w:r>
        <w:t xml:space="preserve"> en garantifond</w:t>
      </w:r>
      <w:r w:rsidR="009253B1">
        <w:t xml:space="preserve"> for skadesforsikringsselskaber</w:t>
      </w:r>
      <w:r>
        <w:t>, og de væsentligste tilpasninger til grønlandsk forhold.</w:t>
      </w:r>
    </w:p>
    <w:p w14:paraId="329B9316" w14:textId="2D99FBE6" w:rsidR="00E1556B" w:rsidRDefault="00D90CC5" w:rsidP="00D90CC5">
      <w:pPr>
        <w:pStyle w:val="Underoverskrift"/>
        <w:numPr>
          <w:ilvl w:val="0"/>
          <w:numId w:val="14"/>
        </w:numPr>
      </w:pPr>
      <w:r w:rsidRPr="00D90CC5">
        <w:lastRenderedPageBreak/>
        <w:t>Overdragelse af administrationen af en arbejdsulykkesforsikringsbestand fra Arbejdsmarkedets Erhvervssikring til Garantifonden for skadesforsikringsselskaber, når et forsikringsselskab går konkurs eller får inddraget sin tilladelse til at drive arbejdsulykkesforsikringsvirksomhed.</w:t>
      </w:r>
    </w:p>
    <w:p w14:paraId="26D4C55B" w14:textId="77777777" w:rsidR="005246C0" w:rsidRDefault="00D90CC5" w:rsidP="00D90CC5">
      <w:r>
        <w:t xml:space="preserve">Med anordningen overgår pligten </w:t>
      </w:r>
      <w:r w:rsidRPr="00D90CC5">
        <w:t>til at tage en arbejdsulykkesforsikringsbestand under administration, når et skadesforsikringsselskab får inddraget sin tilladelse til at drive arbejdsulykkesforsikringsvirksomhed, fra Arbejdsmarkedets Erhvervssikring til Garantifonden.</w:t>
      </w:r>
      <w:r w:rsidR="005246C0" w:rsidRPr="005246C0">
        <w:t xml:space="preserve"> </w:t>
      </w:r>
    </w:p>
    <w:p w14:paraId="3D7BA8DE" w14:textId="77777777" w:rsidR="005246C0" w:rsidRDefault="005246C0" w:rsidP="00D90CC5"/>
    <w:p w14:paraId="07616C04" w14:textId="38F92732" w:rsidR="00D90CC5" w:rsidRDefault="005246C0" w:rsidP="00D90CC5">
      <w:r w:rsidRPr="005246C0">
        <w:t xml:space="preserve">Garantifonden overtager </w:t>
      </w:r>
      <w:r>
        <w:t xml:space="preserve">samtidig </w:t>
      </w:r>
      <w:r w:rsidRPr="005246C0">
        <w:t xml:space="preserve">administrationen af de arbejdsulykkesforsikringsbestande, som Arbejdsmarkedets Erhvervssikring </w:t>
      </w:r>
      <w:r>
        <w:t>tidligere administrerede</w:t>
      </w:r>
      <w:r w:rsidRPr="005246C0">
        <w:t>, som følge af at forsikringsselskaber har fået inddraget tilladelsen til at drive arbejdsulykkesforsikringsvirksomhed.</w:t>
      </w:r>
    </w:p>
    <w:p w14:paraId="49617524" w14:textId="0C60263D" w:rsidR="005246C0" w:rsidRDefault="005246C0" w:rsidP="00D90CC5"/>
    <w:p w14:paraId="5FA7B72B" w14:textId="6222A7A4" w:rsidR="005246C0" w:rsidRDefault="005246C0" w:rsidP="00D90CC5">
      <w:r>
        <w:t xml:space="preserve">Med anordningen </w:t>
      </w:r>
      <w:r w:rsidR="0088186B">
        <w:t>skal</w:t>
      </w:r>
      <w:r w:rsidRPr="005246C0">
        <w:t xml:space="preserve"> Garantifonden fremadrettet yde dækning i henhold til loven, når et direkte tegnende skadesforsikringsselskab, der har fået Finanstilsynets tilladelse til at drive arbejdsulykkesforsikringsvirksomhed, eller som via filial eller grænseoverskridende tjenesteydelsesvirksomhed tegner arbejdsulykkesforsikringer i </w:t>
      </w:r>
      <w:r>
        <w:t>Grønland</w:t>
      </w:r>
      <w:r w:rsidRPr="005246C0">
        <w:t>, får inddraget sin tilladelse til at drive arbejdsulykkesforsikringsvirksomhed, og Finanstilsynet i henhold til lov om finansiel virksomhed</w:t>
      </w:r>
      <w:r w:rsidR="009253B1">
        <w:t>,</w:t>
      </w:r>
      <w:r>
        <w:t xml:space="preserve"> som sat i kraft for Grønland ved kongelig anordning</w:t>
      </w:r>
      <w:r w:rsidRPr="005246C0">
        <w:t xml:space="preserve"> har truffet beslutning om, at arbejdsulykkesforsikringsbestanden skal tages under administration af Garantifonden.</w:t>
      </w:r>
    </w:p>
    <w:p w14:paraId="0065816E" w14:textId="1A4A19C4" w:rsidR="005246C0" w:rsidRDefault="005246C0" w:rsidP="00D90CC5"/>
    <w:p w14:paraId="27CB24FC" w14:textId="174A3DF6" w:rsidR="005246C0" w:rsidRDefault="005246C0" w:rsidP="00D90CC5">
      <w:r w:rsidRPr="005246C0">
        <w:t>Garantifonden indtræder i alle rettigheder og forpligtelser samt krav, herunder aftaler og retlige udeståender, som Arbejdsmarkedets Erhvervssikring har i de konkursboer, hvor Arbejdsmarkedets Erhvervssikring har varetaget administrationen af selskabets arbejdsulykkesforsikringsbestand. Dette vil indebære, at Garantifonden eksempelvis indtræder i aftaler om garantistillelser eller overtager retlige tvister, som relaterer sig til Arbejdsmarkedets Erhvervssikrings varetagelse af administrationen af selskaber arbejdsulykkesforsikring.</w:t>
      </w:r>
    </w:p>
    <w:p w14:paraId="1637B460" w14:textId="5E79A58C" w:rsidR="005246C0" w:rsidRDefault="005246C0" w:rsidP="00D90CC5"/>
    <w:p w14:paraId="7BD0E790" w14:textId="531CEEA1" w:rsidR="005246C0" w:rsidRDefault="005246C0" w:rsidP="00D90CC5">
      <w:r>
        <w:t>K</w:t>
      </w:r>
      <w:r w:rsidRPr="005246C0">
        <w:t>ravet til Garantifondens formue øges fra 300 mio. kr. til 500 mio. kr., hvoraf mindst 200 mio. kr. af Garantifondens formue udgøres af bidrag fra forsikringsselskaber, som tegner arbejdsulykkesforsikringer. I den forbindelse foreslås det, at Finanstilsynet ved fastsættelse af de beløb, som forsikringsselskaberne skal betale bidrag til Garantifonden på baggrund af, skal tage højde for, at de forsikringsselskaber, der tegner arbejdsulykkesforsikringer, i videst muligt omfang dækker de udgifter, som er forbundet med Garantifonden for skadesforsikringsselskabers administration af arbejdsulykkesforsikringer.</w:t>
      </w:r>
    </w:p>
    <w:p w14:paraId="17FB7DAB" w14:textId="30E671C7" w:rsidR="005246C0" w:rsidRDefault="005246C0" w:rsidP="00D90CC5"/>
    <w:p w14:paraId="62249C91" w14:textId="77777777" w:rsidR="005246C0" w:rsidRDefault="005246C0" w:rsidP="005246C0">
      <w:r>
        <w:t>Der henvises til følgende ændringer:</w:t>
      </w:r>
    </w:p>
    <w:p w14:paraId="31975918" w14:textId="77777777" w:rsidR="005246C0" w:rsidRDefault="005246C0" w:rsidP="005246C0">
      <w:r>
        <w:t xml:space="preserve"> </w:t>
      </w:r>
    </w:p>
    <w:p w14:paraId="13A799E4" w14:textId="0D5AEA6A" w:rsidR="005246C0" w:rsidRDefault="005246C0" w:rsidP="00D90CC5">
      <w:r>
        <w:t xml:space="preserve">§ </w:t>
      </w:r>
      <w:r w:rsidR="009253B1">
        <w:t>10</w:t>
      </w:r>
      <w:r>
        <w:t>, nr. 1</w:t>
      </w:r>
      <w:r w:rsidR="000044F6">
        <w:t>-31</w:t>
      </w:r>
      <w:r>
        <w:t>.</w:t>
      </w:r>
    </w:p>
    <w:p w14:paraId="6FFB42A8" w14:textId="46F238FB" w:rsidR="0055459D" w:rsidRDefault="006E03CD" w:rsidP="00FE6699">
      <w:pPr>
        <w:pStyle w:val="Underoverskrift"/>
        <w:numPr>
          <w:ilvl w:val="1"/>
          <w:numId w:val="6"/>
        </w:numPr>
      </w:pPr>
      <w:r>
        <w:lastRenderedPageBreak/>
        <w:t>Tilpasninger til de grønlandske forhold</w:t>
      </w:r>
    </w:p>
    <w:p w14:paraId="01627DBA" w14:textId="6409ECC8" w:rsidR="0055459D" w:rsidRDefault="0055459D" w:rsidP="006E03CD">
      <w:r>
        <w:t xml:space="preserve">Med anordningen </w:t>
      </w:r>
      <w:r w:rsidR="001F0E0C">
        <w:t xml:space="preserve">henvises der til </w:t>
      </w:r>
      <w:r>
        <w:t>lov om arbejdsskadesikring i Grønland</w:t>
      </w:r>
      <w:r w:rsidR="00FE6699">
        <w:t xml:space="preserve"> og ikke til den danske lov om arbejdsskadesikring</w:t>
      </w:r>
      <w:r w:rsidR="001F0E0C">
        <w:t>.</w:t>
      </w:r>
    </w:p>
    <w:p w14:paraId="3E5FA5BF" w14:textId="73FC3BFE" w:rsidR="000044F6" w:rsidRDefault="000044F6" w:rsidP="006E03CD"/>
    <w:p w14:paraId="2E9670CB" w14:textId="03B0441C" w:rsidR="000044F6" w:rsidRDefault="000044F6" w:rsidP="006E03CD">
      <w:r>
        <w:t xml:space="preserve">Endvidere sættes § </w:t>
      </w:r>
      <w:r w:rsidR="009253B1">
        <w:t>10</w:t>
      </w:r>
      <w:r>
        <w:t>, nr. 22, ikke i kraft for Grønland, da ændringen vedrører en bestemmelse, som ikke er sat i kraft for Grønland.</w:t>
      </w:r>
    </w:p>
    <w:p w14:paraId="36F6A2D1" w14:textId="77777777" w:rsidR="00AA14B5" w:rsidRDefault="00AA14B5" w:rsidP="006E03CD"/>
    <w:p w14:paraId="2C05189B" w14:textId="7CEB31D5" w:rsidR="00AA14B5" w:rsidRDefault="00AA14B5" w:rsidP="00AA14B5">
      <w:pPr>
        <w:pStyle w:val="Overskrift2"/>
        <w:jc w:val="center"/>
      </w:pPr>
      <w:r>
        <w:t>§ 11</w:t>
      </w:r>
    </w:p>
    <w:p w14:paraId="7B32DCEC" w14:textId="5FAA47F6" w:rsidR="002E3CCF" w:rsidRPr="00F13198" w:rsidRDefault="002E3CCF" w:rsidP="00DA330D">
      <w:r>
        <w:t xml:space="preserve">Anordningen sætter § 1 lov </w:t>
      </w:r>
      <w:r w:rsidRPr="002E3CCF">
        <w:t>nr</w:t>
      </w:r>
      <w:r>
        <w:t>.</w:t>
      </w:r>
      <w:r w:rsidRPr="002E3CCF">
        <w:t xml:space="preserve"> 480 af 12/05/2023</w:t>
      </w:r>
      <w:r w:rsidR="00F13198" w:rsidRPr="00F13198">
        <w:t xml:space="preserve"> </w:t>
      </w:r>
      <w:r w:rsidR="00F13198">
        <w:t>i kraft for Grønland. Nedenfor er et resume af de væsentligste ændringer af lov om en garantifond for skadesforsikringsselskaber, og de væsentligste tilpasninger til grønlandsk forhold.</w:t>
      </w:r>
    </w:p>
    <w:p w14:paraId="4F6B52F7" w14:textId="5580CBA6" w:rsidR="00AA14B5" w:rsidRDefault="00347ED6" w:rsidP="00D74B61">
      <w:pPr>
        <w:pStyle w:val="Underoverskrift"/>
        <w:numPr>
          <w:ilvl w:val="0"/>
          <w:numId w:val="19"/>
        </w:numPr>
      </w:pPr>
      <w:r>
        <w:t xml:space="preserve">Ændringer </w:t>
      </w:r>
      <w:r w:rsidR="0065705F">
        <w:t>vedrørende</w:t>
      </w:r>
      <w:r>
        <w:t xml:space="preserve"> motorkøretøjsansvarsforsikringer</w:t>
      </w:r>
    </w:p>
    <w:p w14:paraId="0565ABE9" w14:textId="5D0438CE" w:rsidR="007A377B" w:rsidRPr="007A377B" w:rsidRDefault="007A377B" w:rsidP="007A377B">
      <w:r>
        <w:t xml:space="preserve">Med anordningen </w:t>
      </w:r>
      <w:r w:rsidR="00347ED6">
        <w:t>skal</w:t>
      </w:r>
      <w:r w:rsidR="006B07C0">
        <w:t xml:space="preserve"> Garantifonden for skadesforsikringsselskaber dække erstatningskrav</w:t>
      </w:r>
      <w:r w:rsidR="00347ED6">
        <w:t xml:space="preserve"> til</w:t>
      </w:r>
      <w:r w:rsidR="006B07C0">
        <w:t xml:space="preserve"> skadelidte, </w:t>
      </w:r>
      <w:r w:rsidR="00347ED6">
        <w:t>når</w:t>
      </w:r>
      <w:r w:rsidR="006B07C0">
        <w:t xml:space="preserve"> skaden er dækket af en motoransvarsforsikring, og </w:t>
      </w:r>
      <w:r w:rsidR="00347ED6">
        <w:t>forsikrings</w:t>
      </w:r>
      <w:r w:rsidR="006B07C0">
        <w:t>selskabet</w:t>
      </w:r>
      <w:r w:rsidR="00347ED6">
        <w:t>, der skal dække skaden, bliver</w:t>
      </w:r>
      <w:r w:rsidR="006B07C0">
        <w:t xml:space="preserve"> erklæret konkurs, </w:t>
      </w:r>
      <w:r w:rsidR="00347ED6">
        <w:t>går i likvidation</w:t>
      </w:r>
      <w:r w:rsidR="006B07C0">
        <w:t xml:space="preserve"> eller </w:t>
      </w:r>
      <w:r w:rsidR="00347ED6">
        <w:t>får</w:t>
      </w:r>
      <w:r w:rsidR="006B07C0">
        <w:t xml:space="preserve"> tilbage</w:t>
      </w:r>
      <w:r w:rsidR="00347ED6">
        <w:t>kaldt</w:t>
      </w:r>
      <w:r w:rsidR="006B07C0">
        <w:t xml:space="preserve"> sin </w:t>
      </w:r>
      <w:r w:rsidR="00347ED6">
        <w:t>tilladelse</w:t>
      </w:r>
      <w:r w:rsidR="006B07C0">
        <w:t xml:space="preserve"> til at </w:t>
      </w:r>
      <w:r w:rsidR="00347ED6">
        <w:t>udøve</w:t>
      </w:r>
      <w:r w:rsidR="006B07C0">
        <w:t xml:space="preserve"> forsikringsvirksomhed. </w:t>
      </w:r>
    </w:p>
    <w:p w14:paraId="7EC583FE" w14:textId="77777777" w:rsidR="007A377B" w:rsidRDefault="007A377B" w:rsidP="006E03CD"/>
    <w:p w14:paraId="19A27644" w14:textId="4A039682" w:rsidR="007A377B" w:rsidRDefault="00347ED6" w:rsidP="007A377B">
      <w:r>
        <w:t xml:space="preserve">Samtidig får Garantifonden mulighed for at </w:t>
      </w:r>
      <w:r w:rsidR="007C0B43">
        <w:t>indgå aftaler med udenlandske fonde</w:t>
      </w:r>
      <w:r>
        <w:t xml:space="preserve"> om refusion</w:t>
      </w:r>
      <w:r w:rsidR="00E34311">
        <w:t xml:space="preserve">. </w:t>
      </w:r>
      <w:r>
        <w:t>Refusion kan blive relevant</w:t>
      </w:r>
      <w:r w:rsidR="00E34311">
        <w:t xml:space="preserve">, </w:t>
      </w:r>
      <w:r>
        <w:t>hvis</w:t>
      </w:r>
      <w:r w:rsidR="00E34311">
        <w:t xml:space="preserve"> </w:t>
      </w:r>
      <w:r>
        <w:t>en</w:t>
      </w:r>
      <w:r w:rsidR="00E34311">
        <w:t xml:space="preserve"> motoransvarsforsikring er tegnet hos et</w:t>
      </w:r>
      <w:r>
        <w:t xml:space="preserve"> udenlandsk</w:t>
      </w:r>
      <w:r w:rsidR="00E34311">
        <w:t xml:space="preserve"> </w:t>
      </w:r>
      <w:r>
        <w:t>forsikrings</w:t>
      </w:r>
      <w:r w:rsidR="00E34311">
        <w:t xml:space="preserve">selskab, </w:t>
      </w:r>
      <w:r>
        <w:t>som bliver</w:t>
      </w:r>
      <w:r w:rsidR="00E34311">
        <w:t xml:space="preserve"> erklære</w:t>
      </w:r>
      <w:r>
        <w:t>t</w:t>
      </w:r>
      <w:r w:rsidR="00E34311">
        <w:t xml:space="preserve"> konkurs, </w:t>
      </w:r>
      <w:r>
        <w:t>går</w:t>
      </w:r>
      <w:r w:rsidR="00E34311">
        <w:t xml:space="preserve"> i likvidation eller får </w:t>
      </w:r>
      <w:r>
        <w:t>tilbagekaldt</w:t>
      </w:r>
      <w:r w:rsidR="00E34311">
        <w:t xml:space="preserve"> sin </w:t>
      </w:r>
      <w:r>
        <w:t>tilladelse</w:t>
      </w:r>
      <w:r w:rsidR="00E34311">
        <w:t xml:space="preserve">. </w:t>
      </w:r>
      <w:r>
        <w:t>I sådanne tilfælde skal Garantifonden</w:t>
      </w:r>
      <w:r w:rsidR="008772F6">
        <w:t xml:space="preserve"> udbetale erstatning </w:t>
      </w:r>
      <w:r>
        <w:t>til skadelidte</w:t>
      </w:r>
      <w:r w:rsidR="008772F6">
        <w:t xml:space="preserve"> og herefter </w:t>
      </w:r>
      <w:r>
        <w:t>søge</w:t>
      </w:r>
      <w:r w:rsidR="008772F6">
        <w:t xml:space="preserve"> refusion hos den tilsvarende fond i </w:t>
      </w:r>
      <w:r>
        <w:t>forsikringsselskabets hjemland</w:t>
      </w:r>
      <w:r w:rsidR="008772F6">
        <w:t xml:space="preserve">. </w:t>
      </w:r>
    </w:p>
    <w:p w14:paraId="181F6FE4" w14:textId="77777777" w:rsidR="00FE6699" w:rsidRDefault="00FE6699" w:rsidP="007A377B"/>
    <w:p w14:paraId="774CB2FE" w14:textId="6C505890" w:rsidR="00FE6699" w:rsidRDefault="00FE6699" w:rsidP="007A377B">
      <w:r>
        <w:t>Der henvises til følgende ændringer:</w:t>
      </w:r>
    </w:p>
    <w:p w14:paraId="4DFC28E7" w14:textId="77777777" w:rsidR="00FE6699" w:rsidRDefault="00FE6699" w:rsidP="007A377B"/>
    <w:p w14:paraId="5DF04B41" w14:textId="4E76AC74" w:rsidR="00FE6699" w:rsidRDefault="00FE6699" w:rsidP="007A377B">
      <w:r>
        <w:t>§ 11, nr. 2 og 12.</w:t>
      </w:r>
    </w:p>
    <w:p w14:paraId="0513DEBB" w14:textId="59994100" w:rsidR="007A377B" w:rsidRDefault="0001597E" w:rsidP="00FE6699">
      <w:pPr>
        <w:pStyle w:val="Underoverskrift"/>
        <w:numPr>
          <w:ilvl w:val="1"/>
          <w:numId w:val="19"/>
        </w:numPr>
      </w:pPr>
      <w:r>
        <w:t>T</w:t>
      </w:r>
      <w:r w:rsidR="00360C94">
        <w:t>ilpasninger til grønlandske forhold</w:t>
      </w:r>
    </w:p>
    <w:p w14:paraId="1E521583" w14:textId="3731C123" w:rsidR="00AC3C6E" w:rsidRDefault="00FB75E6" w:rsidP="00360C94">
      <w:r>
        <w:t xml:space="preserve">Med anordningen tilpasses lov om en garantifond for skadesforsikringsselskaber således, at </w:t>
      </w:r>
      <w:r w:rsidR="00347ED6">
        <w:t>der ikke henvises til</w:t>
      </w:r>
      <w:r>
        <w:t xml:space="preserve"> selskaber inden for Den Europæiske Union eller lande, som Den Europæiske Union har indgået aftale med</w:t>
      </w:r>
      <w:r w:rsidR="00347ED6">
        <w:t>.</w:t>
      </w:r>
      <w:r>
        <w:t xml:space="preserve"> </w:t>
      </w:r>
    </w:p>
    <w:p w14:paraId="1E396074" w14:textId="0F1C3873" w:rsidR="00536DFD" w:rsidRDefault="00536DFD" w:rsidP="00536DFD">
      <w:pPr>
        <w:pStyle w:val="Underoverskrift"/>
        <w:numPr>
          <w:ilvl w:val="0"/>
          <w:numId w:val="19"/>
        </w:numPr>
      </w:pPr>
      <w:r w:rsidRPr="00536DFD">
        <w:t>Udvidelse af dækningsområde og medlemskreds til at omfatte livsforsikringsselskaber, der udøver arbejdsulykkesforsikringsvirksomhed</w:t>
      </w:r>
    </w:p>
    <w:p w14:paraId="2F82F982" w14:textId="5CFACA23" w:rsidR="00536DFD" w:rsidRDefault="00536DFD" w:rsidP="00360C94">
      <w:r>
        <w:t>Med anordningen ændres l</w:t>
      </w:r>
      <w:r w:rsidRPr="00536DFD">
        <w:t>ov om en garantifond for skadesforsikringsselskaber, så pligten til at være medlem af og yde bidrag til Fonden også omfatter livsforsikringsselskaber, der tegner arbejdsulykkesforsikringer.</w:t>
      </w:r>
    </w:p>
    <w:p w14:paraId="33D5C6EC" w14:textId="77777777" w:rsidR="00FE6699" w:rsidRDefault="00FE6699" w:rsidP="00360C94"/>
    <w:p w14:paraId="26ACED6D" w14:textId="77777777" w:rsidR="00FE6699" w:rsidRDefault="00FE6699" w:rsidP="00FE6699">
      <w:r>
        <w:lastRenderedPageBreak/>
        <w:t>Der henvises til følgende ændringer:</w:t>
      </w:r>
    </w:p>
    <w:p w14:paraId="531D2E5C" w14:textId="77777777" w:rsidR="00FE6699" w:rsidRDefault="00FE6699" w:rsidP="00FE6699"/>
    <w:p w14:paraId="3C997F75" w14:textId="08CB49AA" w:rsidR="00FE6699" w:rsidRDefault="00FE6699" w:rsidP="00360C94">
      <w:r>
        <w:t>§ 11, nr. 1 og 5.</w:t>
      </w:r>
    </w:p>
    <w:p w14:paraId="7CAC9B05" w14:textId="77777777" w:rsidR="00536DFD" w:rsidRDefault="00536DFD" w:rsidP="00536DFD">
      <w:pPr>
        <w:pStyle w:val="Underoverskrift"/>
        <w:numPr>
          <w:ilvl w:val="1"/>
          <w:numId w:val="19"/>
        </w:numPr>
      </w:pPr>
      <w:r>
        <w:t>Tilpasninger til grønlandske forhold</w:t>
      </w:r>
    </w:p>
    <w:p w14:paraId="6DE2ED04" w14:textId="1614AE81" w:rsidR="00536DFD" w:rsidRPr="00536DFD" w:rsidRDefault="00536DFD" w:rsidP="00536DFD">
      <w:r>
        <w:t xml:space="preserve">Med anordningen tilpasses lov om en garantifond for skadesforsikringsselskaber, så der henvises korrekt til forsikringsselskabers virksomhed i Grønland </w:t>
      </w:r>
      <w:r w:rsidR="00DD685D">
        <w:t>i stedet for</w:t>
      </w:r>
      <w:r>
        <w:t xml:space="preserve"> Danmark. </w:t>
      </w:r>
    </w:p>
    <w:p w14:paraId="77C6B22A" w14:textId="0FB3CD67" w:rsidR="00AC3C6E" w:rsidRDefault="00AC3C6E" w:rsidP="00AC3C6E">
      <w:pPr>
        <w:pStyle w:val="Overskrift2"/>
        <w:jc w:val="center"/>
      </w:pPr>
      <w:r>
        <w:t>§ 12</w:t>
      </w:r>
    </w:p>
    <w:p w14:paraId="25154290" w14:textId="41E7E981" w:rsidR="00F13198" w:rsidRPr="00F13198" w:rsidRDefault="00F13198" w:rsidP="00DA330D">
      <w:r>
        <w:t xml:space="preserve">Anordningen sætter § 1 lov </w:t>
      </w:r>
      <w:r w:rsidRPr="002E3CCF">
        <w:t>nr</w:t>
      </w:r>
      <w:r>
        <w:t>.</w:t>
      </w:r>
      <w:r w:rsidRPr="002E3CCF">
        <w:t xml:space="preserve"> </w:t>
      </w:r>
      <w:r w:rsidR="00193B5F">
        <w:t>x</w:t>
      </w:r>
      <w:r w:rsidR="00193B5F" w:rsidRPr="002E3CCF">
        <w:t xml:space="preserve"> </w:t>
      </w:r>
      <w:r w:rsidRPr="002E3CCF">
        <w:t xml:space="preserve">af </w:t>
      </w:r>
      <w:r w:rsidR="00193B5F">
        <w:t>[DATO]</w:t>
      </w:r>
      <w:r w:rsidRPr="00F13198">
        <w:t xml:space="preserve"> </w:t>
      </w:r>
      <w:r>
        <w:t>i kraft for Grønland. Nedenfor er et resume af de væsentligste ændringer af lov om en garantifond for skadesforsikringsselskaber, og de væsentligste tilpasninger til grønlandsk forhold.</w:t>
      </w:r>
    </w:p>
    <w:p w14:paraId="5A451CB6" w14:textId="4033CCB5" w:rsidR="001D1440" w:rsidRDefault="00A4786F" w:rsidP="00ED2A85">
      <w:pPr>
        <w:pStyle w:val="Underoverskrift"/>
        <w:numPr>
          <w:ilvl w:val="0"/>
          <w:numId w:val="22"/>
        </w:numPr>
      </w:pPr>
      <w:r>
        <w:t>Ændring</w:t>
      </w:r>
      <w:r w:rsidR="00161B3B">
        <w:t>er af</w:t>
      </w:r>
      <w:r>
        <w:t xml:space="preserve"> Garantifondens formue</w:t>
      </w:r>
    </w:p>
    <w:p w14:paraId="4AD43079" w14:textId="56E8C640" w:rsidR="00C3535F" w:rsidRDefault="001D1440" w:rsidP="00ED2A85">
      <w:r w:rsidRPr="00DA330D">
        <w:t xml:space="preserve">Med anordningen ændres </w:t>
      </w:r>
      <w:r w:rsidR="00193B5F">
        <w:t>kravet til størrelsen af</w:t>
      </w:r>
      <w:r w:rsidRPr="00DA330D">
        <w:t xml:space="preserve"> </w:t>
      </w:r>
      <w:r w:rsidR="00A4786F" w:rsidRPr="00DA330D">
        <w:t>G</w:t>
      </w:r>
      <w:r w:rsidRPr="00DA330D">
        <w:t>arantifonden</w:t>
      </w:r>
      <w:r w:rsidR="00193B5F">
        <w:t>s formue.  300 mio. kr. af</w:t>
      </w:r>
      <w:r w:rsidR="00A4786F" w:rsidRPr="00DA330D">
        <w:t xml:space="preserve"> Garantifondens</w:t>
      </w:r>
      <w:r w:rsidR="00E5764A" w:rsidRPr="00DA330D">
        <w:t xml:space="preserve"> </w:t>
      </w:r>
      <w:r w:rsidR="00A4786F" w:rsidRPr="00DA330D">
        <w:t xml:space="preserve">formue skal </w:t>
      </w:r>
      <w:r w:rsidR="00193B5F" w:rsidRPr="00DA330D">
        <w:t xml:space="preserve">fortsat </w:t>
      </w:r>
      <w:r w:rsidR="00A4786F" w:rsidRPr="00DA330D">
        <w:t>dække visse forbrugerforsikringer og forsikringer, som kan sidestilles hermed. 2</w:t>
      </w:r>
      <w:r w:rsidR="00E5764A" w:rsidRPr="00DA330D">
        <w:t xml:space="preserve">00 mio. kr. af </w:t>
      </w:r>
      <w:r w:rsidR="00C3535F" w:rsidRPr="00DA330D">
        <w:t xml:space="preserve">Garantifondens formue </w:t>
      </w:r>
      <w:r w:rsidR="00A4786F" w:rsidRPr="00DA330D">
        <w:t>skal</w:t>
      </w:r>
      <w:r w:rsidR="00E5764A" w:rsidRPr="00DA330D">
        <w:t xml:space="preserve"> </w:t>
      </w:r>
      <w:r w:rsidR="00A4786F" w:rsidRPr="00DA330D">
        <w:t>dække</w:t>
      </w:r>
      <w:r w:rsidR="00E5764A" w:rsidRPr="00DA330D">
        <w:t xml:space="preserve"> arbejdsulykkesforsikringer</w:t>
      </w:r>
      <w:r w:rsidR="00A4786F" w:rsidRPr="00DA330D">
        <w:t>.</w:t>
      </w:r>
      <w:r w:rsidR="00E5764A" w:rsidRPr="00DA330D">
        <w:t xml:space="preserve"> </w:t>
      </w:r>
      <w:r w:rsidR="00607B5E" w:rsidRPr="00DA330D">
        <w:t xml:space="preserve">100 mio. kr. </w:t>
      </w:r>
      <w:r w:rsidR="00A4786F" w:rsidRPr="00DA330D">
        <w:t>skal dække</w:t>
      </w:r>
      <w:r w:rsidR="00607B5E" w:rsidRPr="00DA330D">
        <w:t xml:space="preserve"> motoransvarsforsikringer tegnet i forsikringsselskaber med </w:t>
      </w:r>
      <w:r w:rsidR="00A4786F" w:rsidRPr="00DA330D">
        <w:t>tilladelse</w:t>
      </w:r>
      <w:r w:rsidR="00607B5E" w:rsidRPr="00DA330D">
        <w:t xml:space="preserve"> til at drive </w:t>
      </w:r>
      <w:r w:rsidR="00C3535F">
        <w:t>forsikrings</w:t>
      </w:r>
      <w:r w:rsidR="00607B5E" w:rsidRPr="00DA330D">
        <w:t>virksomhed i Grønland.</w:t>
      </w:r>
      <w:r w:rsidR="00BB1E74" w:rsidRPr="00DA330D">
        <w:t xml:space="preserve"> </w:t>
      </w:r>
      <w:r w:rsidR="00C3535F">
        <w:t>Garantifonden</w:t>
      </w:r>
      <w:r w:rsidR="00C3535F" w:rsidRPr="00DA330D">
        <w:t xml:space="preserve"> </w:t>
      </w:r>
      <w:r w:rsidR="00C5314B" w:rsidRPr="00DA330D">
        <w:t>skal herefter have en samlet</w:t>
      </w:r>
      <w:r w:rsidR="00A4786F" w:rsidRPr="00DA330D">
        <w:t xml:space="preserve"> formue på 600 mio. kr.</w:t>
      </w:r>
    </w:p>
    <w:p w14:paraId="55020E83" w14:textId="77777777" w:rsidR="00FE6699" w:rsidRDefault="00FE6699" w:rsidP="00ED2A85"/>
    <w:p w14:paraId="5BD592AB" w14:textId="26B9A0D3" w:rsidR="00FE6699" w:rsidRDefault="00FE6699" w:rsidP="00ED2A85">
      <w:r>
        <w:t>Der henvises til følgende ændringer:</w:t>
      </w:r>
    </w:p>
    <w:p w14:paraId="0359AE04" w14:textId="77777777" w:rsidR="00FE6699" w:rsidRDefault="00FE6699" w:rsidP="00ED2A85"/>
    <w:p w14:paraId="19B2EFD1" w14:textId="0F796C05" w:rsidR="00FE6699" w:rsidRDefault="00FE6699" w:rsidP="00ED2A85">
      <w:r>
        <w:t>§ 12, nr. 6 og 8.</w:t>
      </w:r>
    </w:p>
    <w:p w14:paraId="6B00158E" w14:textId="77777777" w:rsidR="00C3535F" w:rsidRDefault="00C3535F" w:rsidP="00C3535F">
      <w:pPr>
        <w:pStyle w:val="Underoverskrift"/>
        <w:numPr>
          <w:ilvl w:val="1"/>
          <w:numId w:val="19"/>
        </w:numPr>
      </w:pPr>
      <w:r>
        <w:t>Tilpasninger til grønlandske forhold</w:t>
      </w:r>
    </w:p>
    <w:p w14:paraId="71D04B81" w14:textId="5E1F51A8" w:rsidR="00C3535F" w:rsidRDefault="00C3535F" w:rsidP="00ED2A85">
      <w:r>
        <w:t xml:space="preserve">Med anordningen tilpasses lov om en garantifond for skadesforsikringsselskaber, så Garantifondens formue består af bidrag fra forsikringsselskaber, </w:t>
      </w:r>
      <w:r w:rsidR="00047732">
        <w:t>når de</w:t>
      </w:r>
      <w:r>
        <w:t xml:space="preserve"> udøver forsikringsvirksomhed i Grønland.</w:t>
      </w:r>
    </w:p>
    <w:p w14:paraId="389364B1" w14:textId="5642FE64" w:rsidR="00C3535F" w:rsidRDefault="00C3535F" w:rsidP="00C3535F">
      <w:pPr>
        <w:pStyle w:val="Underoverskrift"/>
      </w:pPr>
      <w:r>
        <w:t xml:space="preserve">Ændringer </w:t>
      </w:r>
      <w:r w:rsidR="0065705F">
        <w:t>vedrørende</w:t>
      </w:r>
      <w:r>
        <w:t xml:space="preserve"> motorkøretøjsansvarsforsikringer</w:t>
      </w:r>
    </w:p>
    <w:p w14:paraId="19E05C54" w14:textId="41D1EAAF" w:rsidR="00555C1B" w:rsidRDefault="00047732" w:rsidP="00360C94">
      <w:r>
        <w:t>Med anordningen skal Garantifonden udbetale erstatning til skadelidte i forbindelse med skader forvoldt af et køretøj med en motoransvarsforsikring tegnet i et skadesforsikringsselskab, der er under konkursbehandling eller likvidation. Garantifonden skal i udgangspunktet dække skadelidte, uanset om forsikringsselskabet har hjemsted i Danmark eller i et land inden for Den Europæiske Union eller et land, som Unionen har indgået aftale med på det finansielle område.</w:t>
      </w:r>
    </w:p>
    <w:p w14:paraId="4AB7A3C4" w14:textId="77777777" w:rsidR="00FE6699" w:rsidRDefault="00FE6699" w:rsidP="00360C94"/>
    <w:p w14:paraId="6FD00644" w14:textId="78209700" w:rsidR="00FE6699" w:rsidRDefault="00FE6699" w:rsidP="00360C94">
      <w:r>
        <w:t>Der henvises til følgende ændringer:</w:t>
      </w:r>
    </w:p>
    <w:p w14:paraId="4CE08E6C" w14:textId="77777777" w:rsidR="00FE6699" w:rsidRDefault="00FE6699" w:rsidP="00360C94"/>
    <w:p w14:paraId="732290E7" w14:textId="140ED261" w:rsidR="00FE6699" w:rsidRDefault="00FE6699" w:rsidP="00360C94">
      <w:r>
        <w:t xml:space="preserve">§ 12, nr. </w:t>
      </w:r>
      <w:r w:rsidR="005E2958">
        <w:t>3, 9, 13, 15, 16, 18, 20-22 og 24.</w:t>
      </w:r>
    </w:p>
    <w:p w14:paraId="1EBCEA91" w14:textId="0D4BE86B" w:rsidR="00B32E1A" w:rsidRDefault="00B32E1A" w:rsidP="00FE6699">
      <w:pPr>
        <w:pStyle w:val="Underoverskrift"/>
        <w:numPr>
          <w:ilvl w:val="1"/>
          <w:numId w:val="19"/>
        </w:numPr>
      </w:pPr>
      <w:r>
        <w:lastRenderedPageBreak/>
        <w:t>Tilpasninger til grønlandske forhold</w:t>
      </w:r>
    </w:p>
    <w:p w14:paraId="2F8D93D8" w14:textId="41D8C6A9" w:rsidR="00DD685D" w:rsidRPr="00536DFD" w:rsidRDefault="00DD685D" w:rsidP="00DD685D">
      <w:r>
        <w:t xml:space="preserve">Med anordningen tilpasses lov om en garantifond for skadesforsikringsselskaber, så der henvises korrekt til forsikringsselskabers virksomhed i Grønland i stedet for Danmark. </w:t>
      </w:r>
    </w:p>
    <w:p w14:paraId="2C2DC0F4" w14:textId="77777777" w:rsidR="00DD685D" w:rsidRPr="00360C94" w:rsidRDefault="00DD685D" w:rsidP="00360C94"/>
    <w:sectPr w:rsidR="00DD685D" w:rsidRPr="00360C94" w:rsidSect="002779D0">
      <w:headerReference w:type="default" r:id="rId8"/>
      <w:headerReference w:type="first" r:id="rId9"/>
      <w:footerReference w:type="first" r:id="rId10"/>
      <w:pgSz w:w="11906" w:h="16838" w:code="9"/>
      <w:pgMar w:top="2325" w:right="3686" w:bottom="1418" w:left="1106" w:header="624" w:footer="567" w:gutter="0"/>
      <w:paperSrc w:first="11" w:other="1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F0B2" w14:textId="77777777" w:rsidR="006A2CD4" w:rsidRDefault="006A2CD4">
      <w:pPr>
        <w:spacing w:line="240" w:lineRule="auto"/>
      </w:pPr>
      <w:r>
        <w:separator/>
      </w:r>
    </w:p>
  </w:endnote>
  <w:endnote w:type="continuationSeparator" w:id="0">
    <w:p w14:paraId="649AD483" w14:textId="77777777" w:rsidR="006A2CD4" w:rsidRDefault="006A2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0896" w14:textId="77777777" w:rsidR="002F13A8" w:rsidRPr="00BF501F" w:rsidRDefault="00C12726">
    <w:pPr>
      <w:pStyle w:val="Sidefod"/>
      <w:rPr>
        <w:sz w:val="20"/>
      </w:rPr>
    </w:pPr>
    <w:r w:rsidRPr="00BF501F">
      <w:rPr>
        <w:sz w:val="20"/>
      </w:rPr>
      <w:fldChar w:fldCharType="begin"/>
    </w:r>
    <w:r w:rsidR="002F13A8" w:rsidRPr="00BF501F">
      <w:rPr>
        <w:sz w:val="20"/>
      </w:rPr>
      <w:instrText xml:space="preserve"> FILENAME \p </w:instrText>
    </w:r>
    <w:r w:rsidRPr="00BF501F">
      <w:rPr>
        <w:sz w:val="20"/>
      </w:rPr>
      <w:fldChar w:fldCharType="separate"/>
    </w:r>
    <w:r w:rsidR="00AC26E8">
      <w:rPr>
        <w:noProof/>
        <w:sz w:val="20"/>
      </w:rPr>
      <w:t>Dokument4</w:t>
    </w:r>
    <w:r w:rsidRPr="00BF501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8B60" w14:textId="77777777" w:rsidR="006A2CD4" w:rsidRDefault="006A2CD4">
      <w:pPr>
        <w:spacing w:line="240" w:lineRule="auto"/>
      </w:pPr>
      <w:r>
        <w:separator/>
      </w:r>
    </w:p>
  </w:footnote>
  <w:footnote w:type="continuationSeparator" w:id="0">
    <w:p w14:paraId="587E6A7E" w14:textId="77777777" w:rsidR="006A2CD4" w:rsidRDefault="006A2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F0DD" w14:textId="1F4C275D" w:rsidR="00163A8D" w:rsidRDefault="00C12726">
    <w:pPr>
      <w:framePr w:w="1531" w:h="851" w:wrap="around" w:vAnchor="page" w:hAnchor="page" w:x="9186" w:y="721"/>
    </w:pPr>
    <w:r>
      <w:rPr>
        <w:rStyle w:val="Sidetal"/>
      </w:rPr>
      <w:fldChar w:fldCharType="begin"/>
    </w:r>
    <w:r w:rsidR="00163A8D">
      <w:rPr>
        <w:rStyle w:val="Sidetal"/>
      </w:rPr>
      <w:instrText xml:space="preserve"> PAGE </w:instrText>
    </w:r>
    <w:r>
      <w:rPr>
        <w:rStyle w:val="Sidetal"/>
      </w:rPr>
      <w:fldChar w:fldCharType="separate"/>
    </w:r>
    <w:r w:rsidR="001F0E0C">
      <w:rPr>
        <w:rStyle w:val="Sidetal"/>
        <w:noProof/>
      </w:rPr>
      <w:t>9</w:t>
    </w:r>
    <w:r>
      <w:rPr>
        <w:rStyle w:val="Sidetal"/>
      </w:rPr>
      <w:fldChar w:fldCharType="end"/>
    </w:r>
    <w:r w:rsidR="00163A8D">
      <w:rPr>
        <w:rStyle w:val="Sidetal"/>
      </w:rPr>
      <w:t>/</w:t>
    </w:r>
    <w:r>
      <w:rPr>
        <w:rStyle w:val="Sidetal"/>
      </w:rPr>
      <w:fldChar w:fldCharType="begin"/>
    </w:r>
    <w:r w:rsidR="00163A8D">
      <w:rPr>
        <w:rStyle w:val="Sidetal"/>
      </w:rPr>
      <w:instrText xml:space="preserve"> NUMPAGES </w:instrText>
    </w:r>
    <w:r>
      <w:rPr>
        <w:rStyle w:val="Sidetal"/>
      </w:rPr>
      <w:fldChar w:fldCharType="separate"/>
    </w:r>
    <w:r w:rsidR="001F0E0C">
      <w:rPr>
        <w:rStyle w:val="Sidetal"/>
        <w:noProof/>
      </w:rPr>
      <w:t>9</w:t>
    </w:r>
    <w:r>
      <w:rPr>
        <w:rStyle w:val="Sidetal"/>
      </w:rPr>
      <w:fldChar w:fldCharType="end"/>
    </w:r>
  </w:p>
  <w:p w14:paraId="3DB7135F" w14:textId="77777777" w:rsidR="00163A8D" w:rsidRDefault="00163A8D">
    <w:pPr>
      <w:framePr w:w="1531" w:h="851" w:wrap="around" w:vAnchor="page" w:hAnchor="page" w:x="9186" w:y="721"/>
    </w:pPr>
  </w:p>
  <w:p w14:paraId="336EE91F" w14:textId="77777777" w:rsidR="00163A8D" w:rsidRDefault="00163A8D">
    <w:pPr>
      <w:framePr w:w="1531" w:h="851" w:wrap="around" w:vAnchor="page" w:hAnchor="page" w:x="9186" w:y="721"/>
    </w:pPr>
  </w:p>
  <w:p w14:paraId="40F21A49" w14:textId="77777777" w:rsidR="00163A8D" w:rsidRDefault="00163A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E79D" w14:textId="77777777" w:rsidR="00163A8D" w:rsidRDefault="00CD5C1F">
    <w:pPr>
      <w:pStyle w:val="Sidehoved"/>
    </w:pPr>
    <w:r>
      <w:rPr>
        <w:noProof/>
      </w:rPr>
      <w:drawing>
        <wp:anchor distT="0" distB="0" distL="114300" distR="114300" simplePos="0" relativeHeight="251658752" behindDoc="0" locked="0" layoutInCell="1" allowOverlap="1" wp14:anchorId="34EBAC9D" wp14:editId="5049D142">
          <wp:simplePos x="0" y="0"/>
          <wp:positionH relativeFrom="page">
            <wp:posOffset>2952750</wp:posOffset>
          </wp:positionH>
          <wp:positionV relativeFrom="page">
            <wp:posOffset>142875</wp:posOffset>
          </wp:positionV>
          <wp:extent cx="1600200" cy="504825"/>
          <wp:effectExtent l="19050" t="0" r="0" b="0"/>
          <wp:wrapSquare wrapText="bothSides"/>
          <wp:docPr id="1" name="Billede 0"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s_rgb.jpg"/>
                  <pic:cNvPicPr/>
                </pic:nvPicPr>
                <pic:blipFill>
                  <a:blip r:embed="rId1"/>
                  <a:stretch>
                    <a:fillRect/>
                  </a:stretch>
                </pic:blipFill>
                <pic:spPr>
                  <a:xfrm>
                    <a:off x="0" y="0"/>
                    <a:ext cx="1600200" cy="504825"/>
                  </a:xfrm>
                  <a:prstGeom prst="rect">
                    <a:avLst/>
                  </a:prstGeom>
                </pic:spPr>
              </pic:pic>
            </a:graphicData>
          </a:graphic>
        </wp:anchor>
      </w:drawing>
    </w:r>
    <w:r w:rsidR="003E4349">
      <w:rPr>
        <w:noProof/>
      </w:rPr>
      <w:drawing>
        <wp:anchor distT="0" distB="0" distL="114300" distR="114300" simplePos="0" relativeHeight="251657728" behindDoc="0" locked="1" layoutInCell="0" allowOverlap="1" wp14:anchorId="3AEDC318" wp14:editId="4E623BB2">
          <wp:simplePos x="0" y="0"/>
          <wp:positionH relativeFrom="margin">
            <wp:posOffset>-9525</wp:posOffset>
          </wp:positionH>
          <wp:positionV relativeFrom="page">
            <wp:posOffset>1503045</wp:posOffset>
          </wp:positionV>
          <wp:extent cx="638175" cy="114300"/>
          <wp:effectExtent l="19050" t="0" r="9525" b="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638175" cy="114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C9E"/>
    <w:multiLevelType w:val="multilevel"/>
    <w:tmpl w:val="B4443E96"/>
    <w:lvl w:ilvl="0">
      <w:start w:val="1"/>
      <w:numFmt w:val="decimal"/>
      <w:pStyle w:val="Underoverskrif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C35A18"/>
    <w:multiLevelType w:val="hybridMultilevel"/>
    <w:tmpl w:val="A8CAD4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A3C7D2F"/>
    <w:multiLevelType w:val="hybridMultilevel"/>
    <w:tmpl w:val="7B14156E"/>
    <w:lvl w:ilvl="0" w:tplc="91284876">
      <w:start w:val="1"/>
      <w:numFmt w:val="bullet"/>
      <w:pStyle w:val="Listeafsni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2E2C0E20"/>
    <w:multiLevelType w:val="hybridMultilevel"/>
    <w:tmpl w:val="DE68F320"/>
    <w:lvl w:ilvl="0" w:tplc="A1ACD74E">
      <w:start w:val="1"/>
      <w:numFmt w:val="lowerLetter"/>
      <w:pStyle w:val="ListeBogstav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4B287A84"/>
    <w:multiLevelType w:val="hybridMultilevel"/>
    <w:tmpl w:val="BBB49F4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4F5E2089"/>
    <w:multiLevelType w:val="hybridMultilevel"/>
    <w:tmpl w:val="95267D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3E53794"/>
    <w:multiLevelType w:val="hybridMultilevel"/>
    <w:tmpl w:val="308E1D24"/>
    <w:lvl w:ilvl="0" w:tplc="3E0CC88A">
      <w:start w:val="1"/>
      <w:numFmt w:val="decimal"/>
      <w:pStyle w:val="ListeTal"/>
      <w:lvlText w:val="%1."/>
      <w:lvlJc w:val="left"/>
      <w:pPr>
        <w:ind w:left="1440" w:hanging="360"/>
      </w:pPr>
      <w:rPr>
        <w:rFonts w:hint="default"/>
        <w:color w:val="000000" w:themeColor="text1"/>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F45230"/>
    <w:multiLevelType w:val="hybridMultilevel"/>
    <w:tmpl w:val="1938BC64"/>
    <w:lvl w:ilvl="0" w:tplc="EA265360">
      <w:start w:val="1"/>
      <w:numFmt w:val="decimal"/>
      <w:lvlText w:val="%1."/>
      <w:lvlJc w:val="left"/>
      <w:pPr>
        <w:ind w:left="720" w:hanging="360"/>
      </w:pPr>
      <w:rPr>
        <w:rFonts w:ascii="Constantia" w:eastAsiaTheme="majorEastAsia" w:hAnsi="Constantia" w:cstheme="majorBidi" w:hint="default"/>
        <w:b/>
        <w:color w:val="000000" w:themeColor="text1"/>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E6905C1"/>
    <w:multiLevelType w:val="hybridMultilevel"/>
    <w:tmpl w:val="E7EAA5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85111007">
    <w:abstractNumId w:val="7"/>
  </w:num>
  <w:num w:numId="2" w16cid:durableId="1615356883">
    <w:abstractNumId w:val="4"/>
  </w:num>
  <w:num w:numId="3" w16cid:durableId="1392803640">
    <w:abstractNumId w:val="2"/>
  </w:num>
  <w:num w:numId="4" w16cid:durableId="2120373389">
    <w:abstractNumId w:val="3"/>
  </w:num>
  <w:num w:numId="5" w16cid:durableId="1814713808">
    <w:abstractNumId w:val="6"/>
  </w:num>
  <w:num w:numId="6" w16cid:durableId="26103192">
    <w:abstractNumId w:val="0"/>
  </w:num>
  <w:num w:numId="7" w16cid:durableId="15558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314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35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30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2615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350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79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2551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0174633">
    <w:abstractNumId w:val="5"/>
  </w:num>
  <w:num w:numId="16" w16cid:durableId="87505624">
    <w:abstractNumId w:val="0"/>
  </w:num>
  <w:num w:numId="17" w16cid:durableId="1068648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8386781">
    <w:abstractNumId w:val="1"/>
  </w:num>
  <w:num w:numId="19" w16cid:durableId="1026638444">
    <w:abstractNumId w:val="0"/>
    <w:lvlOverride w:ilvl="0">
      <w:startOverride w:val="1"/>
    </w:lvlOverride>
  </w:num>
  <w:num w:numId="20" w16cid:durableId="785662869">
    <w:abstractNumId w:val="9"/>
  </w:num>
  <w:num w:numId="21" w16cid:durableId="955142057">
    <w:abstractNumId w:val="0"/>
  </w:num>
  <w:num w:numId="22" w16cid:durableId="1583638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359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Initialer" w:val="Empty"/>
    <w:docVar w:name="Kontor" w:val="Empty"/>
    <w:docVar w:name="PCAdato" w:val="Empty"/>
    <w:docVar w:name="PCAmodtager" w:val="Empty"/>
    <w:docVar w:name="PCAoverskrift" w:val="Empty"/>
    <w:docVar w:name="PCASag" w:val="Empty"/>
    <w:docVar w:name="PCAStart" w:val="Empty"/>
  </w:docVars>
  <w:rsids>
    <w:rsidRoot w:val="00AC26E8"/>
    <w:rsid w:val="00001584"/>
    <w:rsid w:val="000044F6"/>
    <w:rsid w:val="000155B4"/>
    <w:rsid w:val="0001597E"/>
    <w:rsid w:val="0002744C"/>
    <w:rsid w:val="00047732"/>
    <w:rsid w:val="00050739"/>
    <w:rsid w:val="00072C06"/>
    <w:rsid w:val="000749C5"/>
    <w:rsid w:val="000A3975"/>
    <w:rsid w:val="000A73C2"/>
    <w:rsid w:val="000C0183"/>
    <w:rsid w:val="000C13A3"/>
    <w:rsid w:val="000D1291"/>
    <w:rsid w:val="000F75BA"/>
    <w:rsid w:val="00120388"/>
    <w:rsid w:val="00145952"/>
    <w:rsid w:val="00161B3B"/>
    <w:rsid w:val="00163A8D"/>
    <w:rsid w:val="001848AB"/>
    <w:rsid w:val="001874D9"/>
    <w:rsid w:val="00193B5F"/>
    <w:rsid w:val="001B1EBE"/>
    <w:rsid w:val="001C0FBB"/>
    <w:rsid w:val="001C47DB"/>
    <w:rsid w:val="001D1440"/>
    <w:rsid w:val="001E4423"/>
    <w:rsid w:val="001E4A6B"/>
    <w:rsid w:val="001F0E0C"/>
    <w:rsid w:val="001F2203"/>
    <w:rsid w:val="001F64C5"/>
    <w:rsid w:val="00225DCE"/>
    <w:rsid w:val="00230D73"/>
    <w:rsid w:val="00241D73"/>
    <w:rsid w:val="00241DC5"/>
    <w:rsid w:val="002503C6"/>
    <w:rsid w:val="00260676"/>
    <w:rsid w:val="002779D0"/>
    <w:rsid w:val="0029239E"/>
    <w:rsid w:val="002A499B"/>
    <w:rsid w:val="002B28EC"/>
    <w:rsid w:val="002C59B9"/>
    <w:rsid w:val="002E3CCF"/>
    <w:rsid w:val="002E594F"/>
    <w:rsid w:val="002E6F9A"/>
    <w:rsid w:val="002F13A8"/>
    <w:rsid w:val="002F4365"/>
    <w:rsid w:val="00305117"/>
    <w:rsid w:val="00331EDD"/>
    <w:rsid w:val="00336D4D"/>
    <w:rsid w:val="00344CA6"/>
    <w:rsid w:val="00344D65"/>
    <w:rsid w:val="00347B1E"/>
    <w:rsid w:val="00347ED6"/>
    <w:rsid w:val="00350B75"/>
    <w:rsid w:val="00360C94"/>
    <w:rsid w:val="003646CB"/>
    <w:rsid w:val="00386414"/>
    <w:rsid w:val="00394ED7"/>
    <w:rsid w:val="003B1B2E"/>
    <w:rsid w:val="003B5E56"/>
    <w:rsid w:val="003E3023"/>
    <w:rsid w:val="003E3B9B"/>
    <w:rsid w:val="003E4349"/>
    <w:rsid w:val="003F55B0"/>
    <w:rsid w:val="003F5CF0"/>
    <w:rsid w:val="00404C4D"/>
    <w:rsid w:val="004178F3"/>
    <w:rsid w:val="004211D6"/>
    <w:rsid w:val="00426EA8"/>
    <w:rsid w:val="0044286B"/>
    <w:rsid w:val="00456FC4"/>
    <w:rsid w:val="004A7797"/>
    <w:rsid w:val="004B3C60"/>
    <w:rsid w:val="004D323A"/>
    <w:rsid w:val="004E6FE6"/>
    <w:rsid w:val="005234AD"/>
    <w:rsid w:val="005246C0"/>
    <w:rsid w:val="00536DFD"/>
    <w:rsid w:val="005439BC"/>
    <w:rsid w:val="005526C6"/>
    <w:rsid w:val="0055459D"/>
    <w:rsid w:val="00555C1B"/>
    <w:rsid w:val="00562A3F"/>
    <w:rsid w:val="00563E61"/>
    <w:rsid w:val="005818C5"/>
    <w:rsid w:val="00586582"/>
    <w:rsid w:val="00586C74"/>
    <w:rsid w:val="005E2958"/>
    <w:rsid w:val="005E2A3D"/>
    <w:rsid w:val="005F6FB5"/>
    <w:rsid w:val="00607B5E"/>
    <w:rsid w:val="00623503"/>
    <w:rsid w:val="00631A10"/>
    <w:rsid w:val="00632F5B"/>
    <w:rsid w:val="0063728A"/>
    <w:rsid w:val="00652874"/>
    <w:rsid w:val="0065705F"/>
    <w:rsid w:val="006570D8"/>
    <w:rsid w:val="006724DD"/>
    <w:rsid w:val="006A2CD4"/>
    <w:rsid w:val="006B07C0"/>
    <w:rsid w:val="006C3314"/>
    <w:rsid w:val="006C7261"/>
    <w:rsid w:val="006E03CD"/>
    <w:rsid w:val="006E5FB0"/>
    <w:rsid w:val="006F510B"/>
    <w:rsid w:val="00700253"/>
    <w:rsid w:val="00703E18"/>
    <w:rsid w:val="00710C97"/>
    <w:rsid w:val="00720AB8"/>
    <w:rsid w:val="0076629B"/>
    <w:rsid w:val="00773E25"/>
    <w:rsid w:val="007900DD"/>
    <w:rsid w:val="007A377B"/>
    <w:rsid w:val="007A619B"/>
    <w:rsid w:val="007C0B43"/>
    <w:rsid w:val="007D2006"/>
    <w:rsid w:val="007E02B4"/>
    <w:rsid w:val="007E5F37"/>
    <w:rsid w:val="007F2438"/>
    <w:rsid w:val="007F2F31"/>
    <w:rsid w:val="00846BF8"/>
    <w:rsid w:val="008560A4"/>
    <w:rsid w:val="00876640"/>
    <w:rsid w:val="00876CF9"/>
    <w:rsid w:val="008772F6"/>
    <w:rsid w:val="0088186B"/>
    <w:rsid w:val="008A4B9F"/>
    <w:rsid w:val="008B152F"/>
    <w:rsid w:val="008D2235"/>
    <w:rsid w:val="008F514F"/>
    <w:rsid w:val="00904F2B"/>
    <w:rsid w:val="00907B69"/>
    <w:rsid w:val="00911391"/>
    <w:rsid w:val="00920F5B"/>
    <w:rsid w:val="009253B1"/>
    <w:rsid w:val="00931FDF"/>
    <w:rsid w:val="00932ADD"/>
    <w:rsid w:val="00936627"/>
    <w:rsid w:val="0094709C"/>
    <w:rsid w:val="00951178"/>
    <w:rsid w:val="00957DBB"/>
    <w:rsid w:val="009600C0"/>
    <w:rsid w:val="009629DD"/>
    <w:rsid w:val="00971A80"/>
    <w:rsid w:val="009A63CE"/>
    <w:rsid w:val="009B6F7E"/>
    <w:rsid w:val="009C70F7"/>
    <w:rsid w:val="009D146D"/>
    <w:rsid w:val="009D48C0"/>
    <w:rsid w:val="009E6EAF"/>
    <w:rsid w:val="009F1D08"/>
    <w:rsid w:val="00A17F58"/>
    <w:rsid w:val="00A30B33"/>
    <w:rsid w:val="00A4786F"/>
    <w:rsid w:val="00A626BC"/>
    <w:rsid w:val="00A8155C"/>
    <w:rsid w:val="00A81D40"/>
    <w:rsid w:val="00AA122D"/>
    <w:rsid w:val="00AA14B5"/>
    <w:rsid w:val="00AA185B"/>
    <w:rsid w:val="00AB6E39"/>
    <w:rsid w:val="00AC013E"/>
    <w:rsid w:val="00AC26E8"/>
    <w:rsid w:val="00AC3C6E"/>
    <w:rsid w:val="00AD56C2"/>
    <w:rsid w:val="00B07E41"/>
    <w:rsid w:val="00B23B9D"/>
    <w:rsid w:val="00B32E1A"/>
    <w:rsid w:val="00B50B07"/>
    <w:rsid w:val="00B57A46"/>
    <w:rsid w:val="00B9425A"/>
    <w:rsid w:val="00B9509D"/>
    <w:rsid w:val="00BA2345"/>
    <w:rsid w:val="00BB1E74"/>
    <w:rsid w:val="00BC0AC8"/>
    <w:rsid w:val="00BF501F"/>
    <w:rsid w:val="00BF7995"/>
    <w:rsid w:val="00C055D5"/>
    <w:rsid w:val="00C06EAD"/>
    <w:rsid w:val="00C1046A"/>
    <w:rsid w:val="00C12726"/>
    <w:rsid w:val="00C12946"/>
    <w:rsid w:val="00C20849"/>
    <w:rsid w:val="00C27871"/>
    <w:rsid w:val="00C3535F"/>
    <w:rsid w:val="00C5314B"/>
    <w:rsid w:val="00C5465E"/>
    <w:rsid w:val="00C565B6"/>
    <w:rsid w:val="00C77ECE"/>
    <w:rsid w:val="00C95441"/>
    <w:rsid w:val="00C95EBC"/>
    <w:rsid w:val="00CA3F45"/>
    <w:rsid w:val="00CB2F8F"/>
    <w:rsid w:val="00CB7ADA"/>
    <w:rsid w:val="00CC2B46"/>
    <w:rsid w:val="00CC65AC"/>
    <w:rsid w:val="00CD5C1F"/>
    <w:rsid w:val="00CF4780"/>
    <w:rsid w:val="00D22799"/>
    <w:rsid w:val="00D72028"/>
    <w:rsid w:val="00D74B61"/>
    <w:rsid w:val="00D90CC5"/>
    <w:rsid w:val="00DA330D"/>
    <w:rsid w:val="00DB1666"/>
    <w:rsid w:val="00DD685D"/>
    <w:rsid w:val="00DE365E"/>
    <w:rsid w:val="00DF5361"/>
    <w:rsid w:val="00E04F94"/>
    <w:rsid w:val="00E1556B"/>
    <w:rsid w:val="00E20E8E"/>
    <w:rsid w:val="00E2456A"/>
    <w:rsid w:val="00E34311"/>
    <w:rsid w:val="00E34E1B"/>
    <w:rsid w:val="00E36CC5"/>
    <w:rsid w:val="00E44B59"/>
    <w:rsid w:val="00E47C8D"/>
    <w:rsid w:val="00E5764A"/>
    <w:rsid w:val="00E94E57"/>
    <w:rsid w:val="00EC3FFA"/>
    <w:rsid w:val="00ED2A85"/>
    <w:rsid w:val="00EE4EE5"/>
    <w:rsid w:val="00F0406F"/>
    <w:rsid w:val="00F13198"/>
    <w:rsid w:val="00F5422C"/>
    <w:rsid w:val="00F7693C"/>
    <w:rsid w:val="00F86811"/>
    <w:rsid w:val="00F86944"/>
    <w:rsid w:val="00F924F2"/>
    <w:rsid w:val="00FB4624"/>
    <w:rsid w:val="00FB75E6"/>
    <w:rsid w:val="00FE6699"/>
    <w:rsid w:val="00FF175C"/>
    <w:rsid w:val="00FF5E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D5B60"/>
  <w15:docId w15:val="{CD53D2FD-811B-41F1-8568-FEA29EFA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FD"/>
    <w:pPr>
      <w:spacing w:line="280" w:lineRule="exact"/>
      <w:jc w:val="both"/>
    </w:pPr>
    <w:rPr>
      <w:rFonts w:ascii="Arial" w:hAnsi="Arial"/>
      <w:sz w:val="21"/>
    </w:rPr>
  </w:style>
  <w:style w:type="paragraph" w:styleId="Overskrift1">
    <w:name w:val="heading 1"/>
    <w:basedOn w:val="Normal"/>
    <w:next w:val="Brdtekst"/>
    <w:qFormat/>
    <w:rsid w:val="00907B69"/>
    <w:pPr>
      <w:keepNext/>
      <w:spacing w:line="480" w:lineRule="exact"/>
      <w:outlineLvl w:val="0"/>
    </w:pPr>
    <w:rPr>
      <w:rFonts w:ascii="Constantia" w:hAnsi="Constantia"/>
      <w:b/>
      <w:color w:val="990000"/>
      <w:sz w:val="32"/>
    </w:rPr>
  </w:style>
  <w:style w:type="paragraph" w:styleId="Overskrift2">
    <w:name w:val="heading 2"/>
    <w:basedOn w:val="Normal"/>
    <w:next w:val="Normal"/>
    <w:link w:val="Overskrift2Tegn"/>
    <w:qFormat/>
    <w:rsid w:val="00586C74"/>
    <w:pPr>
      <w:keepNext/>
      <w:keepLines/>
      <w:spacing w:before="280" w:after="140"/>
      <w:outlineLvl w:val="1"/>
    </w:pPr>
    <w:rPr>
      <w:rFonts w:ascii="Constantia" w:eastAsiaTheme="majorEastAsia" w:hAnsi="Constantia" w:cstheme="majorBidi"/>
      <w:b/>
      <w:bCs/>
      <w:color w:val="000000" w:themeColor="text1"/>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E44B59"/>
    <w:pPr>
      <w:framePr w:w="2268" w:h="7370" w:hSpace="141" w:wrap="around" w:hAnchor="page" w:x="9270" w:anchorLock="1"/>
    </w:pPr>
    <w:rPr>
      <w:sz w:val="15"/>
    </w:rPr>
  </w:style>
  <w:style w:type="paragraph" w:customStyle="1" w:styleId="diverse">
    <w:name w:val="diverse"/>
    <w:basedOn w:val="Normal"/>
    <w:rsid w:val="00E44B59"/>
    <w:rPr>
      <w:sz w:val="18"/>
    </w:rPr>
  </w:style>
  <w:style w:type="character" w:styleId="Sidetal">
    <w:name w:val="page number"/>
    <w:basedOn w:val="Standardskrifttypeiafsnit"/>
    <w:rsid w:val="00E44B59"/>
  </w:style>
  <w:style w:type="paragraph" w:customStyle="1" w:styleId="datomv">
    <w:name w:val="datomv"/>
    <w:basedOn w:val="skakt"/>
    <w:rsid w:val="00E44B59"/>
    <w:pPr>
      <w:framePr w:w="0" w:hRule="auto" w:hSpace="142" w:wrap="around" w:vAnchor="text" w:hAnchor="text" w:x="9073" w:y="1"/>
    </w:pPr>
    <w:rPr>
      <w:rFonts w:ascii="Times New Roman" w:hAnsi="Times New Roman"/>
      <w:sz w:val="24"/>
    </w:rPr>
  </w:style>
  <w:style w:type="paragraph" w:styleId="Sidehoved">
    <w:name w:val="header"/>
    <w:basedOn w:val="Normal"/>
    <w:rsid w:val="00E44B59"/>
    <w:pPr>
      <w:tabs>
        <w:tab w:val="center" w:pos="4819"/>
        <w:tab w:val="right" w:pos="9638"/>
      </w:tabs>
    </w:pPr>
  </w:style>
  <w:style w:type="paragraph" w:customStyle="1" w:styleId="modt">
    <w:name w:val="modt"/>
    <w:basedOn w:val="Normal"/>
    <w:rsid w:val="00E44B59"/>
  </w:style>
  <w:style w:type="paragraph" w:styleId="Sidefod">
    <w:name w:val="footer"/>
    <w:basedOn w:val="Normal"/>
    <w:rsid w:val="00331EDD"/>
    <w:pPr>
      <w:tabs>
        <w:tab w:val="center" w:pos="4819"/>
        <w:tab w:val="right" w:pos="9638"/>
      </w:tabs>
      <w:spacing w:line="240" w:lineRule="auto"/>
    </w:pPr>
    <w:rPr>
      <w:sz w:val="16"/>
    </w:rPr>
  </w:style>
  <w:style w:type="paragraph" w:customStyle="1" w:styleId="Enhed">
    <w:name w:val="Enhed"/>
    <w:basedOn w:val="Normal"/>
    <w:rsid w:val="00E44B59"/>
    <w:pPr>
      <w:framePr w:h="454" w:hRule="exact" w:wrap="around" w:vAnchor="page" w:hAnchor="page" w:x="9186" w:y="1702"/>
    </w:pPr>
    <w:rPr>
      <w:b/>
      <w:caps/>
      <w:sz w:val="15"/>
    </w:rPr>
  </w:style>
  <w:style w:type="paragraph" w:styleId="Brdtekst">
    <w:name w:val="Body Text"/>
    <w:basedOn w:val="Normal"/>
    <w:rsid w:val="00CF4780"/>
  </w:style>
  <w:style w:type="paragraph" w:styleId="Markeringsbobletekst">
    <w:name w:val="Balloon Text"/>
    <w:basedOn w:val="Normal"/>
    <w:link w:val="MarkeringsbobletekstTegn"/>
    <w:uiPriority w:val="99"/>
    <w:semiHidden/>
    <w:unhideWhenUsed/>
    <w:rsid w:val="00CD5C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5C1F"/>
    <w:rPr>
      <w:rFonts w:ascii="Tahoma" w:hAnsi="Tahoma" w:cs="Tahoma"/>
      <w:sz w:val="16"/>
      <w:szCs w:val="16"/>
    </w:rPr>
  </w:style>
  <w:style w:type="character" w:customStyle="1" w:styleId="Overskrift2Tegn">
    <w:name w:val="Overskrift 2 Tegn"/>
    <w:basedOn w:val="Standardskrifttypeiafsnit"/>
    <w:link w:val="Overskrift2"/>
    <w:rsid w:val="00586C74"/>
    <w:rPr>
      <w:rFonts w:ascii="Constantia" w:eastAsiaTheme="majorEastAsia" w:hAnsi="Constantia" w:cstheme="majorBidi"/>
      <w:b/>
      <w:bCs/>
      <w:color w:val="000000" w:themeColor="text1"/>
      <w:sz w:val="22"/>
      <w:szCs w:val="26"/>
    </w:rPr>
  </w:style>
  <w:style w:type="paragraph" w:styleId="Listeafsnit">
    <w:name w:val="List Paragraph"/>
    <w:basedOn w:val="Normal"/>
    <w:uiPriority w:val="1"/>
    <w:qFormat/>
    <w:rsid w:val="00586C74"/>
    <w:pPr>
      <w:numPr>
        <w:numId w:val="3"/>
      </w:numPr>
      <w:ind w:left="426" w:hanging="426"/>
      <w:contextualSpacing/>
    </w:pPr>
  </w:style>
  <w:style w:type="paragraph" w:customStyle="1" w:styleId="Underoverskrift">
    <w:name w:val="Underoverskrift"/>
    <w:basedOn w:val="Overskrift2"/>
    <w:next w:val="Normal"/>
    <w:qFormat/>
    <w:rsid w:val="00586C74"/>
    <w:pPr>
      <w:numPr>
        <w:numId w:val="6"/>
      </w:numPr>
    </w:pPr>
  </w:style>
  <w:style w:type="paragraph" w:customStyle="1" w:styleId="ListeTal">
    <w:name w:val="ListeTal"/>
    <w:basedOn w:val="Listeafsnit"/>
    <w:uiPriority w:val="1"/>
    <w:qFormat/>
    <w:rsid w:val="00586C74"/>
    <w:pPr>
      <w:numPr>
        <w:numId w:val="5"/>
      </w:numPr>
      <w:ind w:left="426" w:hanging="426"/>
    </w:pPr>
  </w:style>
  <w:style w:type="paragraph" w:customStyle="1" w:styleId="ListeBogstaver">
    <w:name w:val="ListeBogstaver"/>
    <w:basedOn w:val="Listeafsnit"/>
    <w:uiPriority w:val="1"/>
    <w:qFormat/>
    <w:rsid w:val="00586C74"/>
    <w:pPr>
      <w:numPr>
        <w:numId w:val="4"/>
      </w:numPr>
      <w:ind w:left="426" w:hanging="426"/>
    </w:pPr>
  </w:style>
  <w:style w:type="paragraph" w:styleId="Fodnotetekst">
    <w:name w:val="footnote text"/>
    <w:basedOn w:val="Normal"/>
    <w:link w:val="FodnotetekstTegn"/>
    <w:uiPriority w:val="2"/>
    <w:qFormat/>
    <w:rsid w:val="00E2456A"/>
    <w:pPr>
      <w:spacing w:line="360" w:lineRule="auto"/>
    </w:pPr>
    <w:rPr>
      <w:sz w:val="16"/>
    </w:rPr>
  </w:style>
  <w:style w:type="character" w:customStyle="1" w:styleId="FodnotetekstTegn">
    <w:name w:val="Fodnotetekst Tegn"/>
    <w:basedOn w:val="Standardskrifttypeiafsnit"/>
    <w:link w:val="Fodnotetekst"/>
    <w:uiPriority w:val="2"/>
    <w:rsid w:val="00E2456A"/>
    <w:rPr>
      <w:rFonts w:ascii="Arial" w:hAnsi="Arial"/>
      <w:sz w:val="16"/>
    </w:rPr>
  </w:style>
  <w:style w:type="character" w:styleId="Fodnotehenvisning">
    <w:name w:val="footnote reference"/>
    <w:basedOn w:val="Standardskrifttypeiafsnit"/>
    <w:uiPriority w:val="99"/>
    <w:semiHidden/>
    <w:unhideWhenUsed/>
    <w:rsid w:val="00E2456A"/>
    <w:rPr>
      <w:vertAlign w:val="superscript"/>
    </w:rPr>
  </w:style>
  <w:style w:type="character" w:styleId="Kommentarhenvisning">
    <w:name w:val="annotation reference"/>
    <w:basedOn w:val="Standardskrifttypeiafsnit"/>
    <w:uiPriority w:val="99"/>
    <w:semiHidden/>
    <w:unhideWhenUsed/>
    <w:rsid w:val="00347B1E"/>
    <w:rPr>
      <w:sz w:val="16"/>
      <w:szCs w:val="16"/>
    </w:rPr>
  </w:style>
  <w:style w:type="paragraph" w:styleId="Kommentartekst">
    <w:name w:val="annotation text"/>
    <w:basedOn w:val="Normal"/>
    <w:link w:val="KommentartekstTegn"/>
    <w:uiPriority w:val="99"/>
    <w:unhideWhenUsed/>
    <w:rsid w:val="00347B1E"/>
    <w:pPr>
      <w:spacing w:line="240" w:lineRule="auto"/>
    </w:pPr>
    <w:rPr>
      <w:sz w:val="20"/>
    </w:rPr>
  </w:style>
  <w:style w:type="character" w:customStyle="1" w:styleId="KommentartekstTegn">
    <w:name w:val="Kommentartekst Tegn"/>
    <w:basedOn w:val="Standardskrifttypeiafsnit"/>
    <w:link w:val="Kommentartekst"/>
    <w:uiPriority w:val="99"/>
    <w:rsid w:val="00347B1E"/>
    <w:rPr>
      <w:rFonts w:ascii="Arial" w:hAnsi="Arial"/>
    </w:rPr>
  </w:style>
  <w:style w:type="paragraph" w:styleId="Kommentaremne">
    <w:name w:val="annotation subject"/>
    <w:basedOn w:val="Kommentartekst"/>
    <w:next w:val="Kommentartekst"/>
    <w:link w:val="KommentaremneTegn"/>
    <w:uiPriority w:val="99"/>
    <w:semiHidden/>
    <w:unhideWhenUsed/>
    <w:rsid w:val="00347B1E"/>
    <w:rPr>
      <w:b/>
      <w:bCs/>
    </w:rPr>
  </w:style>
  <w:style w:type="character" w:customStyle="1" w:styleId="KommentaremneTegn">
    <w:name w:val="Kommentaremne Tegn"/>
    <w:basedOn w:val="KommentartekstTegn"/>
    <w:link w:val="Kommentaremne"/>
    <w:uiPriority w:val="99"/>
    <w:semiHidden/>
    <w:rsid w:val="00347B1E"/>
    <w:rPr>
      <w:rFonts w:ascii="Arial" w:hAnsi="Arial"/>
      <w:b/>
      <w:bCs/>
    </w:rPr>
  </w:style>
  <w:style w:type="paragraph" w:styleId="Korrektur">
    <w:name w:val="Revision"/>
    <w:hidden/>
    <w:uiPriority w:val="99"/>
    <w:semiHidden/>
    <w:rsid w:val="00C565B6"/>
    <w:rPr>
      <w:rFonts w:ascii="Arial" w:hAnsi="Arial"/>
      <w:sz w:val="21"/>
    </w:rPr>
  </w:style>
  <w:style w:type="character" w:styleId="Hyperlink">
    <w:name w:val="Hyperlink"/>
    <w:basedOn w:val="Standardskrifttypeiafsnit"/>
    <w:uiPriority w:val="99"/>
    <w:unhideWhenUsed/>
    <w:rsid w:val="009A63CE"/>
    <w:rPr>
      <w:color w:val="990000" w:themeColor="hyperlink"/>
      <w:u w:val="single"/>
    </w:rPr>
  </w:style>
  <w:style w:type="character" w:styleId="Ulstomtale">
    <w:name w:val="Unresolved Mention"/>
    <w:basedOn w:val="Standardskrifttypeiafsnit"/>
    <w:uiPriority w:val="99"/>
    <w:semiHidden/>
    <w:unhideWhenUsed/>
    <w:rsid w:val="009A6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FT-Skabelon\Notat.dotm" TargetMode="Externa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0BCD-6FA5-41D9-891A-4C49CDD7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3</TotalTime>
  <Pages>10</Pages>
  <Words>2561</Words>
  <Characters>14599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Julius Petersson (FT)</dc:creator>
  <cp:keywords/>
  <cp:lastModifiedBy>Simon Mogensen</cp:lastModifiedBy>
  <cp:revision>3</cp:revision>
  <cp:lastPrinted>2002-07-26T09:51:00Z</cp:lastPrinted>
  <dcterms:created xsi:type="dcterms:W3CDTF">2023-12-12T13:10:00Z</dcterms:created>
  <dcterms:modified xsi:type="dcterms:W3CDTF">2023-12-14T13:17:00Z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DocNumber">
    <vt:i4>0</vt:i4>
  </property>
  <property fmtid="{D5CDD505-2E9C-101B-9397-08002B2CF9AE}" pid="4" name="AdrCode">
    <vt:lpwstr/>
  </property>
  <property fmtid="{D5CDD505-2E9C-101B-9397-08002B2CF9AE}" pid="5" name="Modtager">
    <vt:lpwstr/>
  </property>
  <property fmtid="{D5CDD505-2E9C-101B-9397-08002B2CF9AE}" pid="6" name="PDokDato">
    <vt:lpwstr>29. august 2022</vt:lpwstr>
  </property>
  <property fmtid="{D5CDD505-2E9C-101B-9397-08002B2CF9AE}" pid="7" name="PJournalNr">
    <vt:lpwstr/>
  </property>
  <property fmtid="{D5CDD505-2E9C-101B-9397-08002B2CF9AE}" pid="8" name="PEmne">
    <vt:lpwstr>Resumé af anordning om ikrafttræden af lov om en garantifond for skadesforsikringsselskaber for Grønland</vt:lpwstr>
  </property>
  <property fmtid="{D5CDD505-2E9C-101B-9397-08002B2CF9AE}" pid="9" name="PATitle">
    <vt:lpwstr/>
  </property>
  <property fmtid="{D5CDD505-2E9C-101B-9397-08002B2CF9AE}" pid="10" name="PATlf">
    <vt:lpwstr/>
  </property>
  <property fmtid="{D5CDD505-2E9C-101B-9397-08002B2CF9AE}" pid="11" name="PAEmail">
    <vt:lpwstr/>
  </property>
  <property fmtid="{D5CDD505-2E9C-101B-9397-08002B2CF9AE}" pid="12" name="ModtRef">
    <vt:lpwstr/>
  </property>
  <property fmtid="{D5CDD505-2E9C-101B-9397-08002B2CF9AE}" pid="13" name="Initialer">
    <vt:lpwstr>JUPE</vt:lpwstr>
  </property>
  <property fmtid="{D5CDD505-2E9C-101B-9397-08002B2CF9AE}" pid="14" name="Bilag">
    <vt:i4>0</vt:i4>
  </property>
  <property fmtid="{D5CDD505-2E9C-101B-9397-08002B2CF9AE}" pid="15" name="Kontor">
    <vt:lpwstr>RASK</vt:lpwstr>
  </property>
  <property fmtid="{D5CDD505-2E9C-101B-9397-08002B2CF9AE}" pid="16" name="Diverse">
    <vt:lpwstr/>
  </property>
</Properties>
</file>