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458" w:rsidP="00DC3BAC" w:rsidRDefault="00F22458" w14:paraId="0DF145B9" w14:textId="77777777"/>
    <w:p w:rsidR="00C86591" w:rsidP="00DC3BAC" w:rsidRDefault="00C86591" w14:paraId="7C0C8E2A" w14:textId="77777777"/>
    <w:p w:rsidRPr="00BD1A63" w:rsidR="00C86591" w:rsidP="00BD1A63" w:rsidRDefault="00910D24" w14:paraId="08B6D7CC" w14:textId="22D0A98B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BD1A63">
        <w:rPr>
          <w:rFonts w:ascii="Arial" w:hAnsi="Arial" w:cs="Arial"/>
          <w:sz w:val="24"/>
          <w:szCs w:val="24"/>
        </w:rPr>
        <w:fldChar w:fldCharType="begin"/>
      </w:r>
      <w:r w:rsidRPr="00BD1A63">
        <w:rPr>
          <w:rFonts w:ascii="Arial" w:hAnsi="Arial" w:cs="Arial"/>
          <w:sz w:val="24"/>
          <w:szCs w:val="24"/>
          <w:lang w:val="en-US"/>
        </w:rPr>
        <w:instrText xml:space="preserve"> DOCPROPERTY  "DN_D Afsendelsesdato"  \* MERGEFORMAT </w:instrText>
      </w:r>
      <w:r w:rsidRPr="00BD1A6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  <w:lang w:val="en-US"/>
        </w:rPr>
        <w:t>18. december 2024</w:t>
      </w:r>
      <w:proofErr w:type="spellStart"/>
      <w:proofErr w:type="spellEnd"/>
      <w:r w:rsidRPr="00BD1A63">
        <w:rPr>
          <w:rFonts w:ascii="Arial" w:hAnsi="Arial" w:cs="Arial"/>
          <w:sz w:val="24"/>
          <w:szCs w:val="24"/>
        </w:rPr>
        <w:fldChar w:fldCharType="end"/>
      </w:r>
    </w:p>
    <w:p w:rsidRPr="00BD1A63" w:rsidR="00ED4F63" w:rsidP="00DC3BAC" w:rsidRDefault="00ED4F63" w14:paraId="69816E5F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BD1A63" w:rsidR="00ED4F63" w:rsidP="00DC3BAC" w:rsidRDefault="00ED4F63" w14:paraId="2574145F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BD1A63" w:rsidR="00ED4F63" w:rsidP="00CE2950" w:rsidRDefault="00910D24" w14:paraId="713E3C87" w14:textId="3A04ED92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D1A63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BD1A63">
        <w:rPr>
          <w:rFonts w:ascii="Arial" w:hAnsi="Arial" w:cs="Arial"/>
          <w:b/>
          <w:bCs/>
          <w:sz w:val="24"/>
          <w:szCs w:val="24"/>
          <w:u w:val="single"/>
          <w:lang w:val="en-US"/>
        </w:rPr>
        <w:instrText xml:space="preserve"> DOCPROPERTY  "DN_D Dokument titel"  \* MERGEFORMAT </w:instrText>
      </w:r>
      <w:r w:rsidRPr="00BD1A63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Legal Guidance for Members of Greenland Business Association (GBA).</w:t>
      </w:r>
      <w:r w:rsidRPr="00BD1A63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7BA4F3D6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BD1A63" w:rsidR="00BD1A63" w:rsidP="00BD1A63" w:rsidRDefault="00BD1A63" w14:paraId="67CC48B4" w14:textId="77777777">
      <w:pPr>
        <w:spacing w:before="100" w:beforeAutospacing="1" w:after="100" w:afterAutospacing="1"/>
        <w:rPr>
          <w:rFonts w:ascii="Arial" w:hAnsi="Arial" w:cs="Arial"/>
          <w:u w:val="single"/>
          <w:lang w:val="en-US"/>
        </w:rPr>
      </w:pPr>
      <w:r w:rsidRPr="00BD1A63">
        <w:rPr>
          <w:rFonts w:ascii="Arial" w:hAnsi="Arial" w:cs="Arial"/>
          <w:u w:val="single"/>
          <w:lang w:val="en-US"/>
        </w:rPr>
        <w:t>Need Legal Guidance?</w:t>
      </w:r>
    </w:p>
    <w:p w:rsidRPr="00593CD5" w:rsidR="00BD1A63" w:rsidP="00BD1A63" w:rsidRDefault="00BD1A63" w14:paraId="230E0173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m</w:t>
      </w:r>
      <w:r w:rsidRPr="00593CD5">
        <w:rPr>
          <w:rFonts w:ascii="Arial" w:hAnsi="Arial" w:cs="Arial"/>
          <w:lang w:val="en-US"/>
        </w:rPr>
        <w:t>embers</w:t>
      </w:r>
      <w:r>
        <w:rPr>
          <w:rFonts w:ascii="Arial" w:hAnsi="Arial" w:cs="Arial"/>
          <w:lang w:val="en-US"/>
        </w:rPr>
        <w:t xml:space="preserve"> of GBA</w:t>
      </w:r>
      <w:r w:rsidRPr="00593CD5">
        <w:rPr>
          <w:rFonts w:ascii="Arial" w:hAnsi="Arial" w:cs="Arial"/>
          <w:lang w:val="en-US"/>
        </w:rPr>
        <w:t xml:space="preserve"> have skilled employees capable of resolving most daily business challenges. However, there are times when businesses encounter specific issues where it is prudent to seek external legal advice.</w:t>
      </w:r>
    </w:p>
    <w:p w:rsidRPr="00593CD5" w:rsidR="00BD1A63" w:rsidP="00BD1A63" w:rsidRDefault="00BD1A63" w14:paraId="6B5A6D5E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have developed strong competencies and extensive experience in the following four main areas, where businesses frequently seek legal assistance:</w:t>
      </w:r>
    </w:p>
    <w:p w:rsidRPr="00593CD5" w:rsidR="00BD1A63" w:rsidP="00BD1A63" w:rsidRDefault="00BD1A63" w14:paraId="0722B22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Public Procurement Law</w:t>
      </w:r>
      <w:r w:rsidRPr="00593CD5">
        <w:rPr>
          <w:rFonts w:ascii="Arial" w:hAnsi="Arial" w:cs="Arial"/>
          <w:lang w:val="en-US"/>
        </w:rPr>
        <w:t xml:space="preserve"> (e.g., tender documents, Danish Tendering Act, AP95)</w:t>
      </w:r>
    </w:p>
    <w:p w:rsidRPr="00593CD5" w:rsidR="00BD1A63" w:rsidP="00BD1A63" w:rsidRDefault="00BD1A63" w14:paraId="59183C95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Employment Law</w:t>
      </w:r>
      <w:r w:rsidRPr="00593CD5">
        <w:rPr>
          <w:rFonts w:ascii="Arial" w:hAnsi="Arial" w:cs="Arial"/>
          <w:lang w:val="en-US"/>
        </w:rPr>
        <w:t xml:space="preserve"> (e.g., collective agreements, holiday legislation, parental leave rules)</w:t>
      </w:r>
    </w:p>
    <w:p w:rsidRPr="00593CD5" w:rsidR="00BD1A63" w:rsidP="00BD1A63" w:rsidRDefault="00BD1A63" w14:paraId="11D8FA7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Company Formation and Registration</w:t>
      </w:r>
      <w:r w:rsidRPr="00593CD5">
        <w:rPr>
          <w:rFonts w:ascii="Arial" w:hAnsi="Arial" w:cs="Arial"/>
          <w:lang w:val="en-US"/>
        </w:rPr>
        <w:t xml:space="preserve"> (e.g., Danish Companies Act, CVR registration)</w:t>
      </w:r>
    </w:p>
    <w:p w:rsidRPr="00593CD5" w:rsidR="00BD1A63" w:rsidP="00BD1A63" w:rsidRDefault="00BD1A63" w14:paraId="4C0E8FDC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Marketing, Competition, and Consumer Law</w:t>
      </w:r>
      <w:r w:rsidRPr="00593CD5">
        <w:rPr>
          <w:rFonts w:ascii="Arial" w:hAnsi="Arial" w:cs="Arial"/>
          <w:lang w:val="en-US"/>
        </w:rPr>
        <w:t xml:space="preserve"> (e.g., advertisements, campaigns, complaints)</w:t>
      </w:r>
    </w:p>
    <w:p w:rsidRPr="00593CD5" w:rsidR="00BD1A63" w:rsidP="00BD1A63" w:rsidRDefault="00BD1A63" w14:paraId="65B1CDD3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Additionally,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handle various other legal matters, ranging from tax law to food safety regulations. If the Secretari</w:t>
      </w:r>
      <w:r>
        <w:rPr>
          <w:rFonts w:ascii="Arial" w:hAnsi="Arial" w:cs="Arial"/>
          <w:lang w:val="en-US"/>
        </w:rPr>
        <w:t>ate</w:t>
      </w:r>
      <w:r w:rsidRPr="00593CD5">
        <w:rPr>
          <w:rFonts w:ascii="Arial" w:hAnsi="Arial" w:cs="Arial"/>
          <w:lang w:val="en-US"/>
        </w:rPr>
        <w:t xml:space="preserve"> does not know the answer to a query, they likely know where to find the answer. GE members are always welcome to contact the Secretariat</w:t>
      </w:r>
      <w:r>
        <w:rPr>
          <w:rFonts w:ascii="Arial" w:hAnsi="Arial" w:cs="Arial"/>
          <w:lang w:val="en-US"/>
        </w:rPr>
        <w:t>e</w:t>
      </w:r>
      <w:r w:rsidRPr="00593CD5">
        <w:rPr>
          <w:rFonts w:ascii="Arial" w:hAnsi="Arial" w:cs="Arial"/>
          <w:lang w:val="en-US"/>
        </w:rPr>
        <w:t>, regardless of the issue.</w:t>
      </w:r>
    </w:p>
    <w:p w:rsidRPr="00593CD5" w:rsidR="00BD1A63" w:rsidP="00BD1A63" w:rsidRDefault="00BD1A63" w14:paraId="71320EDC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The following sections outline G</w:t>
      </w:r>
      <w:r>
        <w:rPr>
          <w:rFonts w:ascii="Arial" w:hAnsi="Arial" w:cs="Arial"/>
          <w:lang w:val="en-US"/>
        </w:rPr>
        <w:t>BA´s</w:t>
      </w:r>
      <w:r w:rsidRPr="00593CD5">
        <w:rPr>
          <w:rFonts w:ascii="Arial" w:hAnsi="Arial" w:cs="Arial"/>
          <w:lang w:val="en-US"/>
        </w:rPr>
        <w:t xml:space="preserve"> legal services within each of these key areas.</w:t>
      </w:r>
    </w:p>
    <w:p w:rsidRPr="00593CD5" w:rsidR="00BD1A63" w:rsidP="00BD1A63" w:rsidRDefault="00BD1A63" w14:paraId="28710DC0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4D108CE5">
          <v:rect id="_x0000_i1025" style="width:0;height:1.5pt" o:hr="t" o:hrstd="t" o:hralign="center" fillcolor="#a0a0a0" stroked="f"/>
        </w:pict>
      </w:r>
    </w:p>
    <w:p w:rsidRPr="00BD1A63" w:rsidR="00BD1A63" w:rsidP="00BD1A63" w:rsidRDefault="00BD1A63" w14:paraId="14295419" w14:textId="77777777">
      <w:pPr>
        <w:spacing w:before="100" w:beforeAutospacing="1" w:after="100" w:afterAutospacing="1"/>
        <w:rPr>
          <w:rFonts w:ascii="Arial" w:hAnsi="Arial" w:cs="Arial"/>
          <w:u w:val="single"/>
          <w:lang w:val="en-US"/>
        </w:rPr>
      </w:pPr>
      <w:r w:rsidRPr="00BD1A63">
        <w:rPr>
          <w:rFonts w:ascii="Arial" w:hAnsi="Arial" w:cs="Arial"/>
          <w:u w:val="single"/>
          <w:lang w:val="en-US"/>
        </w:rPr>
        <w:t>Other Legal Tasks</w:t>
      </w:r>
    </w:p>
    <w:p w:rsidRPr="00593CD5" w:rsidR="00BD1A63" w:rsidP="00BD1A63" w:rsidRDefault="00BD1A63" w14:paraId="108BF24A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In addition to specific member guidance,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team undertakes tasks related to representing the collective interests of its members, such as:</w:t>
      </w:r>
    </w:p>
    <w:p w:rsidRPr="00593CD5" w:rsidR="00BD1A63" w:rsidP="00BD1A63" w:rsidRDefault="00BD1A63" w14:paraId="63DAC4FE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Preparing consultation responses on proposed laws, regulations, and reports.</w:t>
      </w:r>
    </w:p>
    <w:p w:rsidRPr="00593CD5" w:rsidR="00BD1A63" w:rsidP="00BD1A63" w:rsidRDefault="00BD1A63" w14:paraId="5AC42262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593CD5">
        <w:rPr>
          <w:rFonts w:ascii="Arial" w:hAnsi="Arial" w:cs="Arial"/>
        </w:rPr>
        <w:t>Negotiating</w:t>
      </w:r>
      <w:proofErr w:type="spellEnd"/>
      <w:r w:rsidRPr="00593CD5">
        <w:rPr>
          <w:rFonts w:ascii="Arial" w:hAnsi="Arial" w:cs="Arial"/>
        </w:rPr>
        <w:t xml:space="preserve"> </w:t>
      </w:r>
      <w:proofErr w:type="spellStart"/>
      <w:r w:rsidRPr="00593CD5">
        <w:rPr>
          <w:rFonts w:ascii="Arial" w:hAnsi="Arial" w:cs="Arial"/>
        </w:rPr>
        <w:t>collective</w:t>
      </w:r>
      <w:proofErr w:type="spellEnd"/>
      <w:r w:rsidRPr="00593CD5">
        <w:rPr>
          <w:rFonts w:ascii="Arial" w:hAnsi="Arial" w:cs="Arial"/>
        </w:rPr>
        <w:t xml:space="preserve"> agreements.</w:t>
      </w:r>
    </w:p>
    <w:p w:rsidRPr="00593CD5" w:rsidR="00BD1A63" w:rsidP="00BD1A63" w:rsidRDefault="00BD1A63" w14:paraId="3167E8D6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Organizing legal seminars and after-work meetings.</w:t>
      </w:r>
    </w:p>
    <w:p w:rsidRPr="00593CD5" w:rsidR="00BD1A63" w:rsidP="00BD1A63" w:rsidRDefault="00BD1A63" w14:paraId="7A5C2E68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Providing training for members’ employees.</w:t>
      </w:r>
    </w:p>
    <w:p w:rsidRPr="00593CD5" w:rsidR="00BD1A63" w:rsidP="00BD1A63" w:rsidRDefault="00BD1A63" w14:paraId="3D6D55BA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Offering courses on topics such as AP95.</w:t>
      </w:r>
    </w:p>
    <w:p w:rsidRPr="00593CD5" w:rsidR="00BD1A63" w:rsidP="00BD1A63" w:rsidRDefault="00BD1A63" w14:paraId="267E837C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0EFA0B9B">
          <v:rect id="_x0000_i1026" style="width:0;height:1.5pt" o:hr="t" o:hrstd="t" o:hralign="center" fillcolor="#a0a0a0" stroked="f"/>
        </w:pict>
      </w:r>
    </w:p>
    <w:p w:rsidRPr="00BD1A63" w:rsidR="00BD1A63" w:rsidP="00BD1A63" w:rsidRDefault="00BD1A63" w14:paraId="5E86E763" w14:textId="77777777">
      <w:pPr>
        <w:spacing w:before="100" w:beforeAutospacing="1" w:after="100" w:afterAutospacing="1"/>
        <w:rPr>
          <w:rFonts w:ascii="Arial" w:hAnsi="Arial" w:cs="Arial"/>
          <w:u w:val="single"/>
          <w:lang w:val="en-US"/>
        </w:rPr>
      </w:pPr>
      <w:r w:rsidRPr="00BD1A63">
        <w:rPr>
          <w:rFonts w:ascii="Arial" w:hAnsi="Arial" w:cs="Arial"/>
          <w:u w:val="single"/>
          <w:lang w:val="en-US"/>
        </w:rPr>
        <w:t>Self-Initiated and Principal Cases</w:t>
      </w:r>
    </w:p>
    <w:p w:rsidRPr="00593CD5" w:rsidR="00BD1A63" w:rsidP="00BD1A63" w:rsidRDefault="00BD1A63" w14:paraId="7867BBC5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It is rare for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’s legal team to initiate cases on its own. </w:t>
      </w:r>
      <w:r>
        <w:rPr>
          <w:rFonts w:ascii="Arial" w:hAnsi="Arial" w:cs="Arial"/>
          <w:lang w:val="en-US"/>
        </w:rPr>
        <w:t>Therefore</w:t>
      </w:r>
      <w:r w:rsidRPr="00593CD5">
        <w:rPr>
          <w:rFonts w:ascii="Arial" w:hAnsi="Arial" w:cs="Arial"/>
          <w:lang w:val="en-US"/>
        </w:rPr>
        <w:t>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cannot be expected to monitor all matters in Greenland. Members must contact the Secretariat</w:t>
      </w:r>
      <w:r>
        <w:rPr>
          <w:rFonts w:ascii="Arial" w:hAnsi="Arial" w:cs="Arial"/>
          <w:lang w:val="en-US"/>
        </w:rPr>
        <w:t>e</w:t>
      </w:r>
      <w:r w:rsidRPr="00593CD5">
        <w:rPr>
          <w:rFonts w:ascii="Arial" w:hAnsi="Arial" w:cs="Arial"/>
          <w:lang w:val="en-US"/>
        </w:rPr>
        <w:t xml:space="preserve"> if they wish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to take on a specific case.</w:t>
      </w:r>
    </w:p>
    <w:p w:rsidRPr="00593CD5" w:rsidR="00BD1A63" w:rsidP="00BD1A63" w:rsidRDefault="00BD1A63" w14:paraId="3E9B699B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It is crucial to specify the type of legal assistance required when requesting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involvement. If extensive materials are provided, members must clearly indicate the relevant parts related to the issue.</w:t>
      </w:r>
    </w:p>
    <w:p w:rsidRPr="00593CD5" w:rsidR="00BD1A63" w:rsidP="00BD1A63" w:rsidRDefault="00BD1A63" w14:paraId="6B2F2EA8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Forwarding materials to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without an explanation of how assistance is sought will only be treated as informational.</w:t>
      </w:r>
    </w:p>
    <w:p w:rsidRPr="00593CD5" w:rsidR="00BD1A63" w:rsidP="00BD1A63" w:rsidRDefault="00BD1A63" w14:paraId="0C1DCA96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lastRenderedPageBreak/>
        <w:t>Due to resource considerations,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seldom</w:t>
      </w:r>
      <w:r>
        <w:rPr>
          <w:rFonts w:ascii="Arial" w:hAnsi="Arial" w:cs="Arial"/>
          <w:lang w:val="en-US"/>
        </w:rPr>
        <w:t>ly</w:t>
      </w:r>
      <w:r w:rsidRPr="00593CD5">
        <w:rPr>
          <w:rFonts w:ascii="Arial" w:hAnsi="Arial" w:cs="Arial"/>
          <w:lang w:val="en-US"/>
        </w:rPr>
        <w:t xml:space="preserve"> represents members in court cases. This may occur only in principal cases of significant importance to many members.</w:t>
      </w:r>
    </w:p>
    <w:p w:rsidRPr="00593CD5" w:rsidR="00BD1A63" w:rsidP="00BD1A63" w:rsidRDefault="00BD1A63" w14:paraId="6DF1912A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The Secretariat</w:t>
      </w:r>
      <w:r>
        <w:rPr>
          <w:rFonts w:ascii="Arial" w:hAnsi="Arial" w:cs="Arial"/>
          <w:lang w:val="en-US"/>
        </w:rPr>
        <w:t>e</w:t>
      </w:r>
      <w:r w:rsidRPr="00593CD5">
        <w:rPr>
          <w:rFonts w:ascii="Arial" w:hAnsi="Arial" w:cs="Arial"/>
          <w:lang w:val="en-US"/>
        </w:rPr>
        <w:t xml:space="preserve"> evaluates whether a case is principal. If so, the proposal will be submitted to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Board of Directors for a final decision.</w:t>
      </w:r>
    </w:p>
    <w:p w:rsidRPr="00593CD5" w:rsidR="00BD1A63" w:rsidP="00BD1A63" w:rsidRDefault="00BD1A63" w14:paraId="675AECB2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If the Secretariat rejects a case, the decision can be appealed to the Board of Directors, which will make the final determination.</w:t>
      </w:r>
    </w:p>
    <w:p w:rsidRPr="00593CD5" w:rsidR="00BD1A63" w:rsidP="00BD1A63" w:rsidRDefault="00BD1A63" w14:paraId="26374CFF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299BE7B1">
          <v:rect id="_x0000_i1027" style="width:0;height:1.5pt" o:hr="t" o:hrstd="t" o:hralign="center" fillcolor="#a0a0a0" stroked="f"/>
        </w:pict>
      </w:r>
    </w:p>
    <w:p w:rsidRPr="00593CD5" w:rsidR="00BD1A63" w:rsidP="00BD1A63" w:rsidRDefault="00BD1A63" w14:paraId="32918E6E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Public Procurement Law</w:t>
      </w:r>
    </w:p>
    <w:p w:rsidRPr="00593CD5" w:rsidR="00BD1A63" w:rsidP="00BD1A63" w:rsidRDefault="00BD1A63" w14:paraId="1511E9DB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u w:val="single"/>
          <w:lang w:val="en-US"/>
        </w:rPr>
        <w:t>Tender Documents</w:t>
      </w:r>
      <w:r w:rsidRPr="00593CD5">
        <w:rPr>
          <w:rFonts w:ascii="Arial" w:hAnsi="Arial" w:cs="Arial"/>
          <w:lang w:val="en-US"/>
        </w:rPr>
        <w:br/>
        <w:t>If a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member is uncertain about conducting a tender process,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are available to review unclear parts of the tender material. If time permits,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can contact the issuer to clarify or improve the material. Members are encouraged to contact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as soon as possible if the material is unclear, allowing for potential corrections before the bidding process. Changes are much harder to make after bids are submitted.</w:t>
      </w:r>
    </w:p>
    <w:p w:rsidRPr="00593CD5" w:rsidR="00BD1A63" w:rsidP="00BD1A63" w:rsidRDefault="00BD1A63" w14:paraId="6B452C81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Bidding and Contract Awards</w:t>
      </w:r>
      <w:r w:rsidRPr="00593CD5">
        <w:rPr>
          <w:rFonts w:ascii="Arial" w:hAnsi="Arial" w:cs="Arial"/>
          <w:lang w:val="en-US"/>
        </w:rPr>
        <w:br/>
        <w:t>If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members believe that the contracting authority is not complying with tender documents, the Danish Tendering Act, or AP95, they can seek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assessment. When submitting materials, it is important to specify the non-compliant sections.</w:t>
      </w:r>
    </w:p>
    <w:p w:rsidRPr="00593CD5" w:rsidR="00BD1A63" w:rsidP="00BD1A63" w:rsidRDefault="00BD1A63" w14:paraId="57C948AC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Whether to bring a case before the Complaints Board for Public Procurement or the courts is always a matter of judgment.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will provide their assessment, but members should be aware of litigation risks.</w:t>
      </w:r>
    </w:p>
    <w:p w:rsidRPr="00593CD5" w:rsidR="00BD1A63" w:rsidP="00BD1A63" w:rsidRDefault="00BD1A63" w14:paraId="5FF5D968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If a member involves an external lawyer or advisor,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will generally withdraw from the case.</w:t>
      </w:r>
    </w:p>
    <w:p w:rsidRPr="00593CD5" w:rsidR="00BD1A63" w:rsidP="00BD1A63" w:rsidRDefault="00BD1A63" w14:paraId="75A24C56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Contract and Tender Material Interpretation</w:t>
      </w:r>
      <w:r w:rsidRPr="00593CD5">
        <w:rPr>
          <w:rFonts w:ascii="Arial" w:hAnsi="Arial" w:cs="Arial"/>
          <w:lang w:val="en-US"/>
        </w:rPr>
        <w:br/>
        <w:t>During the contract period,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can assess compliance with the contract, AP95, or similar regulations. In construction cases,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may consult the Danish Construction Association for additional evaluation.</w:t>
      </w:r>
    </w:p>
    <w:p w:rsidRPr="00593CD5" w:rsidR="00BD1A63" w:rsidP="00BD1A63" w:rsidRDefault="00BD1A63" w14:paraId="6E576C1C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If a dispute arises between two members,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can act as mediators, facilitating a quick and cost-effective resolution for both parties.</w:t>
      </w:r>
    </w:p>
    <w:p w:rsidRPr="00593CD5" w:rsidR="00BD1A63" w:rsidP="00BD1A63" w:rsidRDefault="00BD1A63" w14:paraId="2ADB6B87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5D14357C">
          <v:rect id="_x0000_i1028" style="width:0;height:1.5pt" o:hr="t" o:hrstd="t" o:hralign="center" fillcolor="#a0a0a0" stroked="f"/>
        </w:pict>
      </w:r>
    </w:p>
    <w:p w:rsidRPr="00593CD5" w:rsidR="00BD1A63" w:rsidP="00BD1A63" w:rsidRDefault="00BD1A63" w14:paraId="3EB8EF89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Employment Law</w:t>
      </w:r>
    </w:p>
    <w:p w:rsidRPr="00593CD5" w:rsidR="00BD1A63" w:rsidP="00BD1A63" w:rsidRDefault="00BD1A63" w14:paraId="57CA3E46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Collective Agreement Interpretation</w:t>
      </w:r>
      <w:r w:rsidRPr="00593CD5">
        <w:rPr>
          <w:rFonts w:ascii="Arial" w:hAnsi="Arial" w:cs="Arial"/>
          <w:lang w:val="en-US"/>
        </w:rPr>
        <w:br/>
        <w:t>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are available to answer questions regarding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collective agreements, such as coverage, content, and general interpretation issues.</w:t>
      </w:r>
    </w:p>
    <w:p w:rsidRPr="00593CD5" w:rsidR="00BD1A63" w:rsidP="00BD1A63" w:rsidRDefault="00BD1A63" w14:paraId="04C3E5AA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lang w:val="en-US"/>
        </w:rPr>
        <w:t>It is essential for members to notify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if agreements contain impractical or problematic provisions.</w:t>
      </w:r>
    </w:p>
    <w:p w:rsidRPr="00593CD5" w:rsidR="00BD1A63" w:rsidP="00BD1A63" w:rsidRDefault="00BD1A63" w14:paraId="6A4E6340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Legislation Interpretation</w:t>
      </w:r>
      <w:r w:rsidRPr="00593CD5">
        <w:rPr>
          <w:rFonts w:ascii="Arial" w:hAnsi="Arial" w:cs="Arial"/>
          <w:lang w:val="en-US"/>
        </w:rPr>
        <w:br/>
        <w:t xml:space="preserve">Some laws, such as those on holiday or parental leave, are </w:t>
      </w:r>
      <w:r>
        <w:rPr>
          <w:rFonts w:ascii="Arial" w:hAnsi="Arial" w:cs="Arial"/>
          <w:lang w:val="en-US"/>
        </w:rPr>
        <w:t>invariable</w:t>
      </w:r>
      <w:r w:rsidRPr="00593CD5">
        <w:rPr>
          <w:rFonts w:ascii="Arial" w:hAnsi="Arial" w:cs="Arial"/>
          <w:lang w:val="en-US"/>
        </w:rPr>
        <w:t xml:space="preserve"> for employers. If members are uncertain about legal provisions or their scope, they can contact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experts.</w:t>
      </w:r>
    </w:p>
    <w:p w:rsidRPr="00593CD5" w:rsidR="00BD1A63" w:rsidP="00BD1A63" w:rsidRDefault="00BD1A63" w14:paraId="5C428CCD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Employment and Termination</w:t>
      </w:r>
      <w:r w:rsidRPr="00593CD5">
        <w:rPr>
          <w:rFonts w:ascii="Arial" w:hAnsi="Arial" w:cs="Arial"/>
          <w:lang w:val="en-US"/>
        </w:rPr>
        <w:br/>
        <w:t xml:space="preserve">In cases of hiring or terminating employees, questions may arise about contract formulation, notice periods, or </w:t>
      </w:r>
      <w:r w:rsidRPr="00593CD5">
        <w:rPr>
          <w:rFonts w:ascii="Arial" w:hAnsi="Arial" w:cs="Arial"/>
          <w:lang w:val="en-US"/>
        </w:rPr>
        <w:lastRenderedPageBreak/>
        <w:t>termination content. Members can find templates for employment contracts and similar resources on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website or by contacting the legal team.</w:t>
      </w:r>
    </w:p>
    <w:p w:rsidRPr="00593CD5" w:rsidR="00BD1A63" w:rsidP="00BD1A63" w:rsidRDefault="00BD1A63" w14:paraId="00208CA9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Training</w:t>
      </w:r>
      <w:r w:rsidRPr="00593CD5">
        <w:rPr>
          <w:rFonts w:ascii="Arial" w:hAnsi="Arial" w:cs="Arial"/>
          <w:lang w:val="en-US"/>
        </w:rPr>
        <w:br/>
        <w:t>If members have specific agreements or require training for a group of employees,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team can create a tailored training program on employment law topics.</w:t>
      </w:r>
    </w:p>
    <w:p w:rsidRPr="00593CD5" w:rsidR="00BD1A63" w:rsidP="00BD1A63" w:rsidRDefault="00BD1A63" w14:paraId="7BC0F05B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6B54BB1F">
          <v:rect id="_x0000_i1029" style="width:0;height:1.5pt" o:hr="t" o:hrstd="t" o:hralign="center" fillcolor="#a0a0a0" stroked="f"/>
        </w:pict>
      </w:r>
    </w:p>
    <w:p w:rsidRPr="00593CD5" w:rsidR="00BD1A63" w:rsidP="00BD1A63" w:rsidRDefault="00BD1A63" w14:paraId="33D1BF68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Company Formation and Registration</w:t>
      </w:r>
    </w:p>
    <w:p w:rsidRPr="00593CD5" w:rsidR="00BD1A63" w:rsidP="00BD1A63" w:rsidRDefault="00BD1A63" w14:paraId="10A8D3AC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Starting a Business</w:t>
      </w:r>
      <w:r w:rsidRPr="00593CD5">
        <w:rPr>
          <w:rFonts w:ascii="Arial" w:hAnsi="Arial" w:cs="Arial"/>
          <w:lang w:val="en-US"/>
        </w:rPr>
        <w:br/>
        <w:t>Members establishing or expanding a business in Greenland can seek legal advice on regulatory compliance from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experts.</w:t>
      </w:r>
    </w:p>
    <w:p w:rsidRPr="00593CD5" w:rsidR="00BD1A63" w:rsidP="00BD1A63" w:rsidRDefault="00BD1A63" w14:paraId="37CD2DA0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Monitoring Compliance</w:t>
      </w:r>
      <w:r w:rsidRPr="00593CD5">
        <w:rPr>
          <w:rFonts w:ascii="Arial" w:hAnsi="Arial" w:cs="Arial"/>
          <w:lang w:val="en-US"/>
        </w:rPr>
        <w:br/>
        <w:t>If members are aware of businesses in Greenland that fail to comply with establishment and registration rules, they can report these to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, which will handle the matter, including notifying the police if necessary. This ensures the reporting member remains anonymous.</w:t>
      </w:r>
    </w:p>
    <w:p w:rsidRPr="00593CD5" w:rsidR="00BD1A63" w:rsidP="00BD1A63" w:rsidRDefault="00BD1A63" w14:paraId="555C192F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Providing Information on Regulations</w:t>
      </w:r>
      <w:r w:rsidRPr="00593CD5">
        <w:rPr>
          <w:rFonts w:ascii="Arial" w:hAnsi="Arial" w:cs="Arial"/>
          <w:lang w:val="en-US"/>
        </w:rPr>
        <w:br/>
        <w:t>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frequently receives inquiries from journalists, employer organizations, and external businesses about Greenland’s company formation laws.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dedicate significant resources to addressing these inquiries, protecting the interests of compliant members.</w:t>
      </w:r>
    </w:p>
    <w:p w:rsidRPr="00593CD5" w:rsidR="00BD1A63" w:rsidP="00BD1A63" w:rsidRDefault="00BD1A63" w14:paraId="493EF38B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2C9B95BD">
          <v:rect id="_x0000_i1030" style="width:0;height:1.5pt" o:hr="t" o:hrstd="t" o:hralign="center" fillcolor="#a0a0a0" stroked="f"/>
        </w:pict>
      </w:r>
    </w:p>
    <w:p w:rsidRPr="00593CD5" w:rsidR="00BD1A63" w:rsidP="00BD1A63" w:rsidRDefault="00BD1A63" w14:paraId="0F1202AD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Marketing, Competition, and Consumer Law</w:t>
      </w:r>
    </w:p>
    <w:p w:rsidRPr="00593CD5" w:rsidR="00BD1A63" w:rsidP="00BD1A63" w:rsidRDefault="00BD1A63" w14:paraId="40FD5EE5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Compliance with Legislation</w:t>
      </w:r>
      <w:r w:rsidRPr="00593CD5">
        <w:rPr>
          <w:rFonts w:ascii="Arial" w:hAnsi="Arial" w:cs="Arial"/>
          <w:lang w:val="en-US"/>
        </w:rPr>
        <w:br/>
        <w:t>Before launching marketing campaigns, entering agreements, or drafting contracts, members can consult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>’s legal experts to ensure planned activities comply with applicable laws.</w:t>
      </w:r>
    </w:p>
    <w:p w:rsidRPr="00593CD5" w:rsidR="00BD1A63" w:rsidP="00BD1A63" w:rsidRDefault="00BD1A63" w14:paraId="532E4BEF" w14:textId="77777777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593CD5">
        <w:rPr>
          <w:rFonts w:ascii="Arial" w:hAnsi="Arial" w:cs="Arial"/>
          <w:b/>
          <w:bCs/>
          <w:lang w:val="en-US"/>
        </w:rPr>
        <w:t>New Rules or Case Law</w:t>
      </w:r>
      <w:r w:rsidRPr="00593CD5">
        <w:rPr>
          <w:rFonts w:ascii="Arial" w:hAnsi="Arial" w:cs="Arial"/>
          <w:lang w:val="en-US"/>
        </w:rPr>
        <w:br/>
        <w:t>When new laws or case precedents are introduced, G</w:t>
      </w:r>
      <w:r>
        <w:rPr>
          <w:rFonts w:ascii="Arial" w:hAnsi="Arial" w:cs="Arial"/>
          <w:lang w:val="en-US"/>
        </w:rPr>
        <w:t>BA</w:t>
      </w:r>
      <w:r w:rsidRPr="00593CD5">
        <w:rPr>
          <w:rFonts w:ascii="Arial" w:hAnsi="Arial" w:cs="Arial"/>
          <w:lang w:val="en-US"/>
        </w:rPr>
        <w:t xml:space="preserve"> informs members through newsletters, seminars, or online guides.</w:t>
      </w:r>
    </w:p>
    <w:p w:rsidRPr="00593CD5" w:rsidR="00BD1A63" w:rsidP="00BD1A63" w:rsidRDefault="00BD1A63" w14:paraId="3223FA60" w14:textId="77777777">
      <w:pPr>
        <w:rPr>
          <w:rFonts w:ascii="Arial" w:hAnsi="Arial" w:cs="Arial"/>
          <w:lang w:val="en-US"/>
        </w:rPr>
      </w:pPr>
    </w:p>
    <w:p w:rsidRPr="00BD1A63" w:rsidR="00BD1A63" w:rsidP="00DC3BAC" w:rsidRDefault="00BD1A63" w14:paraId="23A0C081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BD1A63" w:rsidR="00E301DE" w:rsidP="00DC3BAC" w:rsidRDefault="00E301DE" w14:paraId="022B4F0F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BD1A63" w:rsidR="00C86591" w:rsidP="00DC3BAC" w:rsidRDefault="00C86591" w14:paraId="52849EBB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BD1A63" w:rsidR="00910D24" w:rsidP="00910D24" w:rsidRDefault="00910D24" w14:paraId="0BA25933" w14:textId="6905E615">
      <w:pPr>
        <w:jc w:val="center"/>
        <w:rPr>
          <w:rFonts w:ascii="Arial" w:hAnsi="Arial" w:cs="Arial"/>
          <w:sz w:val="24"/>
          <w:szCs w:val="24"/>
          <w:lang w:val="en-US"/>
        </w:rPr>
      </w:pPr>
    </w:p>
    <w:sectPr w:rsidRPr="00BD1A63" w:rsidR="00910D24" w:rsidSect="001C203A">
      <w:footerReference w:type="default" r:id="rId8"/>
      <w:headerReference w:type="first" r:id="rId9"/>
      <w:footerReference w:type="first" r:id="rId10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98364" w14:textId="77777777" w:rsidR="00C86591" w:rsidRDefault="00C86591" w:rsidP="00C86591">
      <w:r>
        <w:separator/>
      </w:r>
    </w:p>
  </w:endnote>
  <w:endnote w:type="continuationSeparator" w:id="0">
    <w:p w14:paraId="28B493A5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7EC39E6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1A07DA8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63A65382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7EDE8068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303D8" w14:textId="77777777" w:rsidR="00C86591" w:rsidRDefault="00C86591" w:rsidP="00C86591">
      <w:r>
        <w:separator/>
      </w:r>
    </w:p>
  </w:footnote>
  <w:footnote w:type="continuationSeparator" w:id="0">
    <w:p w14:paraId="18E8594E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95BF0" w:rsidR="00C86591" w:rsidP="00395BF0" w:rsidRDefault="00395BF0" w14:paraId="508CEDF2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5AF33AFA" wp14:anchorId="6EC01BB1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77C0"/>
    <w:multiLevelType w:val="multilevel"/>
    <w:tmpl w:val="CC0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D61B7"/>
    <w:multiLevelType w:val="multilevel"/>
    <w:tmpl w:val="ECD0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91024">
    <w:abstractNumId w:val="0"/>
  </w:num>
  <w:num w:numId="2" w16cid:durableId="60130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3872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1E7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1A63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7E65EBC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7C33-A926-4885-8D26-B855C42B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915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2024-12-18T16:53:00Z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D24-14191</vt:lpwstr>
  </op:property>
  <op:property fmtid="{D5CDD505-2E9C-101B-9397-08002B2CF9AE}" pid="9" name="DN_D Modtager">
    <vt:lpwstr/>
  </op:property>
  <op:property fmtid="{D5CDD505-2E9C-101B-9397-08002B2CF9AE}" pid="10" name="DN_D Afsendelsesdato">
    <vt:lpwstr>18. december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Legal Guidance for Members of Greenland Business Association (GBA).</vt:lpwstr>
  </op:property>
  <op:property fmtid="{D5CDD505-2E9C-101B-9397-08002B2CF9AE}" pid="14" name="DN_D_email">
    <vt:lpwstr/>
  </op:property>
  <op:property fmtid="{D5CDD505-2E9C-101B-9397-08002B2CF9AE}" pid="15" name="sagsnummer">
    <vt:lpwstr>S24-398</vt:lpwstr>
  </op:property>
  <op:property fmtid="{D5CDD505-2E9C-101B-9397-08002B2CF9AE}" pid="16" name="Sagstitel">
    <vt:lpwstr>Bæredygtighedsstrategi 2025-2030</vt:lpwstr>
  </op:property>
</op:Properties>
</file>