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D146" w14:textId="4174A26B" w:rsidR="004E10F4" w:rsidRPr="00CB143B" w:rsidRDefault="004E10F4" w:rsidP="00CB143B">
      <w:pPr>
        <w:pStyle w:val="Overskrift1"/>
        <w:spacing w:line="240" w:lineRule="auto"/>
        <w:jc w:val="center"/>
        <w:rPr>
          <w:rFonts w:ascii="Questa-Regular" w:eastAsia="Calibri" w:hAnsi="Questa-Regular" w:cs="Tahoma"/>
          <w:sz w:val="37"/>
          <w:szCs w:val="37"/>
          <w:shd w:val="clear" w:color="auto" w:fill="FFFFFF"/>
        </w:rPr>
      </w:pPr>
      <w:r w:rsidRPr="00CB143B">
        <w:rPr>
          <w:rFonts w:ascii="Questa-Regular" w:eastAsia="Calibri" w:hAnsi="Questa-Regular" w:cs="Tahoma"/>
          <w:sz w:val="37"/>
          <w:szCs w:val="37"/>
          <w:shd w:val="clear" w:color="auto" w:fill="FFFFFF"/>
        </w:rPr>
        <w:t>Bekendtgørelse om takster for administration pr. 1. januar 202</w:t>
      </w:r>
      <w:r w:rsidR="00E06C24">
        <w:rPr>
          <w:rFonts w:ascii="Questa-Regular" w:eastAsia="Calibri" w:hAnsi="Questa-Regular" w:cs="Tahoma"/>
          <w:sz w:val="37"/>
          <w:szCs w:val="37"/>
          <w:shd w:val="clear" w:color="auto" w:fill="FFFFFF"/>
        </w:rPr>
        <w:t>6</w:t>
      </w:r>
      <w:r w:rsidRPr="00CB143B">
        <w:rPr>
          <w:rFonts w:ascii="Questa-Regular" w:eastAsia="Calibri" w:hAnsi="Questa-Regular" w:cs="Tahoma"/>
          <w:sz w:val="37"/>
          <w:szCs w:val="37"/>
          <w:shd w:val="clear" w:color="auto" w:fill="FFFFFF"/>
        </w:rPr>
        <w:t xml:space="preserve"> i henhold til lov om arbejdsskadesikring i Grønland</w:t>
      </w:r>
    </w:p>
    <w:p w14:paraId="4AF61D9B" w14:textId="77777777" w:rsidR="00CB143B" w:rsidRDefault="00CB143B" w:rsidP="00CB143B">
      <w:pPr>
        <w:spacing w:after="0" w:line="240" w:lineRule="auto"/>
        <w:ind w:left="533"/>
        <w:jc w:val="center"/>
        <w:rPr>
          <w:rFonts w:ascii="Questa-Regular" w:hAnsi="Questa-Regular" w:cs="Tahoma"/>
          <w:sz w:val="24"/>
          <w:szCs w:val="24"/>
          <w:highlight w:val="yellow"/>
          <w:shd w:val="clear" w:color="auto" w:fill="FFFFFF"/>
        </w:rPr>
      </w:pPr>
    </w:p>
    <w:p w14:paraId="5EDA9F78" w14:textId="77777777" w:rsidR="004E10F4" w:rsidRPr="004E10F4" w:rsidRDefault="004E10F4" w:rsidP="00CB143B">
      <w:pPr>
        <w:spacing w:after="0" w:line="240" w:lineRule="auto"/>
        <w:ind w:left="533"/>
        <w:rPr>
          <w:rFonts w:ascii="Questa-Regular" w:hAnsi="Questa-Regular" w:cs="Tahoma"/>
          <w:sz w:val="19"/>
          <w:szCs w:val="19"/>
          <w:shd w:val="clear" w:color="auto" w:fill="FFFFFF"/>
        </w:rPr>
      </w:pPr>
    </w:p>
    <w:p w14:paraId="0424A879" w14:textId="631568A8" w:rsidR="004E10F4" w:rsidRPr="00CB143B" w:rsidRDefault="004E10F4" w:rsidP="00CB143B">
      <w:pPr>
        <w:spacing w:after="5" w:line="240" w:lineRule="auto"/>
        <w:ind w:left="528" w:right="2" w:hanging="10"/>
        <w:jc w:val="both"/>
        <w:rPr>
          <w:rFonts w:ascii="Questa-Regular" w:hAnsi="Questa-Regular" w:cs="Tahoma"/>
          <w:shd w:val="clear" w:color="auto" w:fill="FFFFFF"/>
        </w:rPr>
      </w:pPr>
      <w:r w:rsidRPr="00CB143B">
        <w:rPr>
          <w:rFonts w:ascii="Questa-Regular" w:hAnsi="Questa-Regular" w:cs="Tahoma"/>
          <w:shd w:val="clear" w:color="auto" w:fill="FFFFFF"/>
        </w:rPr>
        <w:t>I medfør af § 64, stk. 4, og § 74, stk. 2, i lov om arbejdsskadesikring i Grønland, jf. lovbekendtgørelse nr. 75 af 16. januar 201</w:t>
      </w:r>
      <w:r w:rsidRPr="007A4038">
        <w:rPr>
          <w:rFonts w:ascii="Questa-Regular" w:hAnsi="Questa-Regular" w:cs="Tahoma"/>
          <w:shd w:val="clear" w:color="auto" w:fill="FFFFFF"/>
        </w:rPr>
        <w:t>7,</w:t>
      </w:r>
      <w:r w:rsidR="007A4038">
        <w:rPr>
          <w:rFonts w:ascii="Questa-Regular" w:hAnsi="Questa-Regular" w:cs="Tahoma"/>
          <w:shd w:val="clear" w:color="auto" w:fill="FFFFFF"/>
        </w:rPr>
        <w:t xml:space="preserve"> </w:t>
      </w:r>
      <w:r w:rsidRPr="00CB143B">
        <w:rPr>
          <w:rFonts w:ascii="Questa-Regular" w:hAnsi="Questa-Regular" w:cs="Tahoma"/>
          <w:shd w:val="clear" w:color="auto" w:fill="FFFFFF"/>
        </w:rPr>
        <w:t xml:space="preserve">fastsættes efter indstilling fra bestyrelsen for Arbejdsmarkedets Erhvervssikring og efter forhandling med social- og boligministeren:  </w:t>
      </w:r>
    </w:p>
    <w:p w14:paraId="0D5FD053" w14:textId="77777777" w:rsidR="004E10F4" w:rsidRPr="00CB143B" w:rsidRDefault="004E10F4" w:rsidP="00CB143B">
      <w:pPr>
        <w:spacing w:after="0" w:line="240" w:lineRule="auto"/>
        <w:ind w:left="533"/>
        <w:rPr>
          <w:rFonts w:ascii="Questa-Regular" w:hAnsi="Questa-Regular" w:cs="Tahoma"/>
          <w:shd w:val="clear" w:color="auto" w:fill="FFFFFF"/>
        </w:rPr>
      </w:pPr>
      <w:r w:rsidRPr="00CB143B">
        <w:rPr>
          <w:rFonts w:ascii="Questa-Regular" w:hAnsi="Questa-Regular" w:cs="Tahoma"/>
          <w:shd w:val="clear" w:color="auto" w:fill="FFFFFF"/>
        </w:rPr>
        <w:t xml:space="preserve"> </w:t>
      </w:r>
    </w:p>
    <w:p w14:paraId="2FC7B3A1" w14:textId="77777777" w:rsidR="004E10F4" w:rsidRPr="00CB143B" w:rsidRDefault="004E10F4" w:rsidP="00CB143B">
      <w:pPr>
        <w:spacing w:after="0" w:line="240" w:lineRule="auto"/>
        <w:ind w:left="533"/>
        <w:jc w:val="center"/>
        <w:rPr>
          <w:rFonts w:ascii="Questa-Regular" w:hAnsi="Questa-Regular" w:cs="Tahoma"/>
          <w:i/>
          <w:shd w:val="clear" w:color="auto" w:fill="FFFFFF"/>
        </w:rPr>
      </w:pPr>
      <w:r w:rsidRPr="00CB143B">
        <w:rPr>
          <w:rFonts w:ascii="Questa-Regular" w:hAnsi="Questa-Regular" w:cs="Tahoma"/>
          <w:i/>
          <w:shd w:val="clear" w:color="auto" w:fill="FFFFFF"/>
        </w:rPr>
        <w:t>Takster for Arbejdsmarkedets Erhvervssikrings og Ankesty</w:t>
      </w:r>
      <w:r w:rsidR="00CB143B" w:rsidRPr="00CB143B">
        <w:rPr>
          <w:rFonts w:ascii="Questa-Regular" w:hAnsi="Questa-Regular" w:cs="Tahoma"/>
          <w:i/>
          <w:shd w:val="clear" w:color="auto" w:fill="FFFFFF"/>
        </w:rPr>
        <w:t>relsens administration af sager</w:t>
      </w:r>
      <w:r w:rsidR="00CB143B">
        <w:rPr>
          <w:rFonts w:ascii="Questa-Regular" w:hAnsi="Questa-Regular" w:cs="Tahoma"/>
          <w:i/>
          <w:shd w:val="clear" w:color="auto" w:fill="FFFFFF"/>
        </w:rPr>
        <w:t xml:space="preserve"> </w:t>
      </w:r>
      <w:r w:rsidRPr="00CB143B">
        <w:rPr>
          <w:rFonts w:ascii="Questa-Regular" w:hAnsi="Questa-Regular" w:cs="Tahoma"/>
          <w:i/>
          <w:shd w:val="clear" w:color="auto" w:fill="FFFFFF"/>
        </w:rPr>
        <w:t>omfattet af lov om arbejdsskadesikring i Grønland</w:t>
      </w:r>
    </w:p>
    <w:p w14:paraId="1B42F92A" w14:textId="77777777" w:rsidR="004E10F4" w:rsidRPr="00CB143B" w:rsidRDefault="004E10F4" w:rsidP="00CB143B">
      <w:pPr>
        <w:spacing w:after="0" w:line="240" w:lineRule="auto"/>
        <w:ind w:left="533"/>
        <w:rPr>
          <w:rFonts w:ascii="Questa-Regular" w:hAnsi="Questa-Regular" w:cs="Tahoma"/>
          <w:shd w:val="clear" w:color="auto" w:fill="FFFFFF"/>
        </w:rPr>
      </w:pPr>
      <w:r w:rsidRPr="00CB143B">
        <w:rPr>
          <w:rFonts w:ascii="Questa-Regular" w:hAnsi="Questa-Regular" w:cs="Tahoma"/>
          <w:shd w:val="clear" w:color="auto" w:fill="FFFFFF"/>
        </w:rPr>
        <w:t xml:space="preserve"> </w:t>
      </w:r>
    </w:p>
    <w:p w14:paraId="735D7348" w14:textId="77777777" w:rsidR="004E10F4" w:rsidRPr="00CB143B" w:rsidRDefault="004E10F4" w:rsidP="00CB143B">
      <w:pPr>
        <w:spacing w:after="5" w:line="240" w:lineRule="auto"/>
        <w:ind w:left="528" w:right="2" w:firstLine="182"/>
        <w:jc w:val="both"/>
        <w:rPr>
          <w:rFonts w:ascii="Questa-Regular" w:hAnsi="Questa-Regular" w:cs="Tahoma"/>
          <w:shd w:val="clear" w:color="auto" w:fill="FFFFFF"/>
        </w:rPr>
      </w:pPr>
      <w:r w:rsidRPr="00CB143B">
        <w:rPr>
          <w:rFonts w:ascii="Questa-Regular" w:hAnsi="Questa-Regular" w:cs="Tahoma"/>
          <w:b/>
          <w:shd w:val="clear" w:color="auto" w:fill="FFFFFF"/>
        </w:rPr>
        <w:t>§ 1.</w:t>
      </w:r>
      <w:r w:rsidRPr="00CB143B">
        <w:rPr>
          <w:rFonts w:ascii="Questa-Regular" w:hAnsi="Questa-Regular" w:cs="Tahoma"/>
          <w:shd w:val="clear" w:color="auto" w:fill="FFFFFF"/>
        </w:rPr>
        <w:t xml:space="preserve"> Betalingen for Arbejdsmarkedets Erhvervssikrings administration af de forhold, der er omfattet lov om arbejdsskadesikring i Grønland og af tidligere gældende anordninger, og som vedrører forsikringsselskaber eller Arbejdsmarkedets Erhvervssygdomssikring, jf. lovens § 64, sker efter følgende takster: </w:t>
      </w:r>
    </w:p>
    <w:p w14:paraId="631C85BE" w14:textId="77777777" w:rsidR="004E10F4" w:rsidRPr="0007783B" w:rsidRDefault="004E10F4" w:rsidP="00CB143B">
      <w:pPr>
        <w:numPr>
          <w:ilvl w:val="0"/>
          <w:numId w:val="1"/>
        </w:numPr>
        <w:spacing w:after="5" w:line="240" w:lineRule="auto"/>
        <w:ind w:right="2" w:hanging="218"/>
        <w:jc w:val="both"/>
        <w:rPr>
          <w:rFonts w:ascii="Questa-Regular" w:hAnsi="Questa-Regular" w:cs="Tahoma"/>
          <w:shd w:val="clear" w:color="auto" w:fill="FFFFFF"/>
        </w:rPr>
      </w:pPr>
      <w:r w:rsidRPr="00CB143B">
        <w:rPr>
          <w:rFonts w:ascii="Questa-Regular" w:hAnsi="Questa-Regular" w:cs="Tahoma"/>
          <w:shd w:val="clear" w:color="auto" w:fill="FFFFFF"/>
        </w:rPr>
        <w:t>Ulykkestilfælde</w:t>
      </w:r>
      <w:r w:rsidRPr="0007783B">
        <w:rPr>
          <w:rFonts w:ascii="Questa-Regular" w:hAnsi="Questa-Regular" w:cs="Tahoma"/>
          <w:shd w:val="clear" w:color="auto" w:fill="FFFFFF"/>
        </w:rPr>
        <w:t xml:space="preserve">: </w:t>
      </w:r>
      <w:r w:rsidR="00460AA6" w:rsidRPr="0007783B">
        <w:rPr>
          <w:rFonts w:ascii="Questa-Regular" w:hAnsi="Questa-Regular" w:cs="Tahoma"/>
          <w:shd w:val="clear" w:color="auto" w:fill="FFFFFF"/>
        </w:rPr>
        <w:t>11.731</w:t>
      </w:r>
      <w:r w:rsidRPr="0007783B">
        <w:rPr>
          <w:rFonts w:ascii="Questa-Regular" w:hAnsi="Questa-Regular" w:cs="Tahoma"/>
          <w:shd w:val="clear" w:color="auto" w:fill="FFFFFF"/>
        </w:rPr>
        <w:t xml:space="preserve"> kr. </w:t>
      </w:r>
    </w:p>
    <w:p w14:paraId="5843BC23" w14:textId="77777777" w:rsidR="004E10F4" w:rsidRPr="0007783B" w:rsidRDefault="004E10F4" w:rsidP="00CB143B">
      <w:pPr>
        <w:numPr>
          <w:ilvl w:val="0"/>
          <w:numId w:val="1"/>
        </w:numPr>
        <w:spacing w:after="5" w:line="240" w:lineRule="auto"/>
        <w:ind w:right="2" w:hanging="218"/>
        <w:jc w:val="both"/>
        <w:rPr>
          <w:rFonts w:ascii="Questa-Regular" w:hAnsi="Questa-Regular" w:cs="Tahoma"/>
          <w:shd w:val="clear" w:color="auto" w:fill="FFFFFF"/>
        </w:rPr>
      </w:pPr>
      <w:r w:rsidRPr="0007783B">
        <w:rPr>
          <w:rFonts w:ascii="Questa-Regular" w:hAnsi="Questa-Regular" w:cs="Tahoma"/>
          <w:shd w:val="clear" w:color="auto" w:fill="FFFFFF"/>
        </w:rPr>
        <w:t>Erhvervssygdomme: 5.</w:t>
      </w:r>
      <w:r w:rsidR="00460AA6" w:rsidRPr="0007783B">
        <w:rPr>
          <w:rFonts w:ascii="Questa-Regular" w:hAnsi="Questa-Regular" w:cs="Tahoma"/>
          <w:shd w:val="clear" w:color="auto" w:fill="FFFFFF"/>
        </w:rPr>
        <w:t>830</w:t>
      </w:r>
      <w:r w:rsidRPr="0007783B">
        <w:rPr>
          <w:rFonts w:ascii="Questa-Regular" w:hAnsi="Questa-Regular" w:cs="Tahoma"/>
          <w:shd w:val="clear" w:color="auto" w:fill="FFFFFF"/>
        </w:rPr>
        <w:t xml:space="preserve"> kr. </w:t>
      </w:r>
    </w:p>
    <w:p w14:paraId="39957D0E" w14:textId="77777777" w:rsidR="004E10F4" w:rsidRPr="0007783B" w:rsidRDefault="004E10F4" w:rsidP="00CB143B">
      <w:pPr>
        <w:spacing w:after="5" w:line="240" w:lineRule="auto"/>
        <w:ind w:left="528" w:right="2" w:firstLine="182"/>
        <w:jc w:val="both"/>
        <w:rPr>
          <w:rFonts w:ascii="Questa-Regular" w:hAnsi="Questa-Regular" w:cs="Tahoma"/>
          <w:shd w:val="clear" w:color="auto" w:fill="FFFFFF"/>
        </w:rPr>
      </w:pPr>
      <w:r w:rsidRPr="0007783B">
        <w:rPr>
          <w:rFonts w:ascii="Questa-Regular" w:hAnsi="Questa-Regular" w:cs="Tahoma"/>
          <w:i/>
          <w:shd w:val="clear" w:color="auto" w:fill="FFFFFF"/>
        </w:rPr>
        <w:t>Stk. 2.</w:t>
      </w:r>
      <w:r w:rsidRPr="0007783B">
        <w:rPr>
          <w:rFonts w:ascii="Questa-Regular" w:hAnsi="Questa-Regular" w:cs="Tahoma"/>
          <w:shd w:val="clear" w:color="auto" w:fill="FFFFFF"/>
        </w:rPr>
        <w:t xml:space="preserve"> De i stk. 1 anførte takster betales for behandling af nyanmeldte sager og for behandling af sager i forbindelse med revision og genoptagelse. </w:t>
      </w:r>
    </w:p>
    <w:p w14:paraId="36EB62F8" w14:textId="77777777" w:rsidR="004E10F4" w:rsidRPr="0007783B" w:rsidRDefault="004E10F4" w:rsidP="00CB143B">
      <w:pPr>
        <w:spacing w:after="0" w:line="240" w:lineRule="auto"/>
        <w:ind w:left="533"/>
        <w:rPr>
          <w:rFonts w:ascii="Questa-Regular" w:hAnsi="Questa-Regular" w:cs="Tahoma"/>
          <w:shd w:val="clear" w:color="auto" w:fill="FFFFFF"/>
        </w:rPr>
      </w:pPr>
      <w:r w:rsidRPr="0007783B">
        <w:rPr>
          <w:rFonts w:ascii="Questa-Regular" w:hAnsi="Questa-Regular" w:cs="Tahoma"/>
          <w:shd w:val="clear" w:color="auto" w:fill="FFFFFF"/>
        </w:rPr>
        <w:t xml:space="preserve"> </w:t>
      </w:r>
    </w:p>
    <w:p w14:paraId="7F40989C" w14:textId="3287AFD3" w:rsidR="004E10F4" w:rsidRPr="0007783B" w:rsidRDefault="004E10F4" w:rsidP="00CB143B">
      <w:pPr>
        <w:autoSpaceDE w:val="0"/>
        <w:autoSpaceDN w:val="0"/>
        <w:adjustRightInd w:val="0"/>
        <w:spacing w:after="0" w:line="240" w:lineRule="auto"/>
        <w:ind w:left="518" w:firstLine="192"/>
        <w:rPr>
          <w:rFonts w:ascii="Questa-Regular" w:hAnsi="Questa-Regular" w:cs="Tahoma"/>
          <w:shd w:val="clear" w:color="auto" w:fill="FFFFFF"/>
        </w:rPr>
      </w:pPr>
      <w:r w:rsidRPr="0007783B">
        <w:rPr>
          <w:rStyle w:val="paragrafnr"/>
          <w:rFonts w:ascii="Questa-Regular" w:eastAsia="Times New Roman" w:hAnsi="Questa-Regular" w:cs="Tahoma"/>
          <w:b/>
          <w:bCs/>
          <w:color w:val="212529"/>
        </w:rPr>
        <w:t>§ 2.</w:t>
      </w:r>
      <w:r w:rsidRPr="0007783B">
        <w:rPr>
          <w:rStyle w:val="paragrafnr"/>
          <w:rFonts w:ascii="Questa-Regular" w:eastAsia="Times New Roman" w:hAnsi="Questa-Regular" w:cs="Tahoma"/>
          <w:b/>
          <w:bCs/>
        </w:rPr>
        <w:t> </w:t>
      </w:r>
      <w:r w:rsidRPr="0007783B">
        <w:rPr>
          <w:rFonts w:ascii="Questa-Regular" w:hAnsi="Questa-Regular" w:cs="Tahoma"/>
          <w:shd w:val="clear" w:color="auto" w:fill="FFFFFF"/>
        </w:rPr>
        <w:t>Betalingen for Ankestyrelsens administration af sager oprettet 1. januar 202</w:t>
      </w:r>
      <w:r w:rsidR="00E06C24" w:rsidRPr="0007783B">
        <w:rPr>
          <w:rFonts w:ascii="Questa-Regular" w:hAnsi="Questa-Regular" w:cs="Tahoma"/>
          <w:shd w:val="clear" w:color="auto" w:fill="FFFFFF"/>
        </w:rPr>
        <w:t>6</w:t>
      </w:r>
      <w:r w:rsidRPr="0007783B">
        <w:rPr>
          <w:rFonts w:ascii="Questa-Regular" w:hAnsi="Questa-Regular" w:cs="Tahoma"/>
          <w:shd w:val="clear" w:color="auto" w:fill="FFFFFF"/>
        </w:rPr>
        <w:t xml:space="preserve"> eller senere udgør 10.700 kr. pr. delafgørelse. </w:t>
      </w:r>
    </w:p>
    <w:p w14:paraId="6C2B94AD" w14:textId="77777777" w:rsidR="004E10F4" w:rsidRPr="0007783B" w:rsidRDefault="004E10F4" w:rsidP="00CB143B">
      <w:pPr>
        <w:autoSpaceDE w:val="0"/>
        <w:autoSpaceDN w:val="0"/>
        <w:adjustRightInd w:val="0"/>
        <w:spacing w:after="0" w:line="240" w:lineRule="auto"/>
        <w:ind w:left="518"/>
        <w:rPr>
          <w:rFonts w:ascii="Questa-Regular" w:hAnsi="Questa-Regular" w:cs="Tahoma"/>
          <w:color w:val="212529"/>
        </w:rPr>
      </w:pPr>
    </w:p>
    <w:p w14:paraId="5EF3A25D" w14:textId="77777777" w:rsidR="004E10F4" w:rsidRPr="0007783B" w:rsidRDefault="004E10F4" w:rsidP="00CB143B">
      <w:pPr>
        <w:spacing w:after="0" w:line="240" w:lineRule="auto"/>
        <w:rPr>
          <w:rFonts w:ascii="Questa-Regular" w:hAnsi="Questa-Regular" w:cs="Tahoma"/>
          <w:shd w:val="clear" w:color="auto" w:fill="FFFFFF"/>
        </w:rPr>
      </w:pPr>
      <w:r w:rsidRPr="0007783B" w:rsidDel="00AD65BB">
        <w:rPr>
          <w:rFonts w:ascii="Questa-Regular" w:eastAsiaTheme="minorHAnsi" w:hAnsi="Questa-Regular" w:cs="Tahoma"/>
          <w:color w:val="auto"/>
          <w:lang w:eastAsia="en-US"/>
        </w:rPr>
        <w:t xml:space="preserve"> </w:t>
      </w:r>
    </w:p>
    <w:p w14:paraId="43A8AAD1" w14:textId="77777777" w:rsidR="004E10F4" w:rsidRPr="0007783B" w:rsidRDefault="004E10F4" w:rsidP="00CB143B">
      <w:pPr>
        <w:spacing w:after="5" w:line="240" w:lineRule="auto"/>
        <w:ind w:left="535" w:right="1" w:hanging="10"/>
        <w:jc w:val="center"/>
        <w:rPr>
          <w:rFonts w:ascii="Questa-Regular" w:hAnsi="Questa-Regular" w:cs="Tahoma"/>
          <w:i/>
          <w:shd w:val="clear" w:color="auto" w:fill="FFFFFF"/>
        </w:rPr>
      </w:pPr>
      <w:r w:rsidRPr="0007783B">
        <w:rPr>
          <w:rFonts w:ascii="Questa-Regular" w:hAnsi="Questa-Regular" w:cs="Tahoma"/>
          <w:i/>
          <w:shd w:val="clear" w:color="auto" w:fill="FFFFFF"/>
        </w:rPr>
        <w:t xml:space="preserve">Betaling for udtalelser efter § 74 i lov om arbejdsskadesikring i Grønland og § 10 i anordning nr. 796 af 1. oktober 1993 om ikrafttræden af lov om erstatningsansvar i Grønland, jf. bekendtgørelse nr. 1078 af 11. september 2015 </w:t>
      </w:r>
    </w:p>
    <w:p w14:paraId="38ADF662" w14:textId="77777777" w:rsidR="004E10F4" w:rsidRPr="0007783B" w:rsidRDefault="004E10F4" w:rsidP="00CB143B">
      <w:pPr>
        <w:spacing w:after="0" w:line="240" w:lineRule="auto"/>
        <w:ind w:left="533"/>
        <w:rPr>
          <w:rFonts w:ascii="Questa-Regular" w:hAnsi="Questa-Regular" w:cs="Tahoma"/>
          <w:shd w:val="clear" w:color="auto" w:fill="FFFFFF"/>
        </w:rPr>
      </w:pPr>
      <w:r w:rsidRPr="0007783B">
        <w:rPr>
          <w:rFonts w:ascii="Questa-Regular" w:hAnsi="Questa-Regular" w:cs="Tahoma"/>
          <w:shd w:val="clear" w:color="auto" w:fill="FFFFFF"/>
        </w:rPr>
        <w:t xml:space="preserve"> </w:t>
      </w:r>
    </w:p>
    <w:p w14:paraId="04D1DB02" w14:textId="77777777" w:rsidR="004E10F4" w:rsidRPr="0007783B" w:rsidRDefault="004E10F4" w:rsidP="00CB143B">
      <w:pPr>
        <w:spacing w:after="5" w:line="240" w:lineRule="auto"/>
        <w:ind w:left="528" w:right="2" w:firstLine="208"/>
        <w:jc w:val="both"/>
        <w:rPr>
          <w:rFonts w:ascii="Questa-Regular" w:hAnsi="Questa-Regular" w:cs="Tahoma"/>
          <w:shd w:val="clear" w:color="auto" w:fill="FFFFFF"/>
        </w:rPr>
      </w:pPr>
      <w:r w:rsidRPr="0007783B">
        <w:rPr>
          <w:rFonts w:ascii="Questa-Regular" w:hAnsi="Questa-Regular" w:cs="Tahoma"/>
          <w:b/>
          <w:shd w:val="clear" w:color="auto" w:fill="FFFFFF"/>
        </w:rPr>
        <w:t>§ 3.</w:t>
      </w:r>
      <w:r w:rsidRPr="0007783B">
        <w:rPr>
          <w:rFonts w:ascii="Questa-Regular" w:hAnsi="Questa-Regular" w:cs="Tahoma"/>
          <w:shd w:val="clear" w:color="auto" w:fill="FFFFFF"/>
        </w:rPr>
        <w:t xml:space="preserve"> Betalingen for udtalelser efter lovens § 74 sker efter følgende takster: </w:t>
      </w:r>
    </w:p>
    <w:p w14:paraId="01CB8132" w14:textId="2E1FB57E" w:rsidR="004E10F4" w:rsidRPr="0007783B" w:rsidRDefault="004E10F4" w:rsidP="00CB143B">
      <w:pPr>
        <w:numPr>
          <w:ilvl w:val="0"/>
          <w:numId w:val="2"/>
        </w:numPr>
        <w:spacing w:after="5" w:line="240" w:lineRule="auto"/>
        <w:ind w:right="2" w:hanging="218"/>
        <w:jc w:val="both"/>
        <w:rPr>
          <w:rFonts w:ascii="Questa-Regular" w:hAnsi="Questa-Regular" w:cs="Tahoma"/>
          <w:shd w:val="clear" w:color="auto" w:fill="FFFFFF"/>
        </w:rPr>
      </w:pPr>
      <w:r w:rsidRPr="0007783B">
        <w:rPr>
          <w:rFonts w:ascii="Questa-Regular" w:hAnsi="Questa-Regular" w:cs="Tahoma"/>
          <w:shd w:val="clear" w:color="auto" w:fill="FFFFFF"/>
        </w:rPr>
        <w:t xml:space="preserve">Udtalelse om erhvervsevnetab: </w:t>
      </w:r>
      <w:r w:rsidR="00460AA6" w:rsidRPr="0007783B">
        <w:rPr>
          <w:rFonts w:ascii="Questa-Regular" w:hAnsi="Questa-Regular" w:cs="Tahoma"/>
          <w:shd w:val="clear" w:color="auto" w:fill="FFFFFF"/>
        </w:rPr>
        <w:t>2</w:t>
      </w:r>
      <w:r w:rsidR="006A3987" w:rsidRPr="0007783B">
        <w:rPr>
          <w:rFonts w:ascii="Questa-Regular" w:hAnsi="Questa-Regular" w:cs="Tahoma"/>
          <w:shd w:val="clear" w:color="auto" w:fill="FFFFFF"/>
        </w:rPr>
        <w:t>6.378</w:t>
      </w:r>
      <w:r w:rsidRPr="0007783B">
        <w:rPr>
          <w:rFonts w:ascii="Questa-Regular" w:hAnsi="Questa-Regular" w:cs="Tahoma"/>
          <w:shd w:val="clear" w:color="auto" w:fill="FFFFFF"/>
        </w:rPr>
        <w:t xml:space="preserve"> kr. </w:t>
      </w:r>
    </w:p>
    <w:p w14:paraId="772807BE" w14:textId="118265B0" w:rsidR="004E10F4" w:rsidRPr="0007783B" w:rsidRDefault="004E10F4" w:rsidP="00CB143B">
      <w:pPr>
        <w:numPr>
          <w:ilvl w:val="0"/>
          <w:numId w:val="2"/>
        </w:numPr>
        <w:spacing w:after="5" w:line="240" w:lineRule="auto"/>
        <w:ind w:right="2" w:hanging="218"/>
        <w:jc w:val="both"/>
        <w:rPr>
          <w:rFonts w:ascii="Questa-Regular" w:hAnsi="Questa-Regular" w:cs="Tahoma"/>
          <w:shd w:val="clear" w:color="auto" w:fill="FFFFFF"/>
        </w:rPr>
      </w:pPr>
      <w:r w:rsidRPr="0007783B">
        <w:rPr>
          <w:rFonts w:ascii="Questa-Regular" w:hAnsi="Questa-Regular" w:cs="Tahoma"/>
          <w:shd w:val="clear" w:color="auto" w:fill="FFFFFF"/>
        </w:rPr>
        <w:t xml:space="preserve">Øvrige udtalelser: </w:t>
      </w:r>
      <w:r w:rsidR="006A3987" w:rsidRPr="0007783B">
        <w:rPr>
          <w:rFonts w:ascii="Questa-Regular" w:hAnsi="Questa-Regular" w:cs="Tahoma"/>
          <w:shd w:val="clear" w:color="auto" w:fill="FFFFFF"/>
        </w:rPr>
        <w:t>10.113</w:t>
      </w:r>
      <w:r w:rsidRPr="0007783B">
        <w:rPr>
          <w:rFonts w:ascii="Questa-Regular" w:hAnsi="Questa-Regular" w:cs="Tahoma"/>
          <w:shd w:val="clear" w:color="auto" w:fill="FFFFFF"/>
        </w:rPr>
        <w:t xml:space="preserve"> kr. </w:t>
      </w:r>
    </w:p>
    <w:p w14:paraId="55BE0726" w14:textId="77777777" w:rsidR="004E10F4" w:rsidRPr="0007783B" w:rsidRDefault="004E10F4" w:rsidP="00CB143B">
      <w:pPr>
        <w:spacing w:after="5" w:line="240" w:lineRule="auto"/>
        <w:ind w:left="528" w:right="2" w:firstLine="208"/>
        <w:jc w:val="both"/>
        <w:rPr>
          <w:rFonts w:ascii="Questa-Regular" w:hAnsi="Questa-Regular" w:cs="Tahoma"/>
          <w:shd w:val="clear" w:color="auto" w:fill="FFFFFF"/>
        </w:rPr>
      </w:pPr>
      <w:r w:rsidRPr="0007783B">
        <w:rPr>
          <w:rFonts w:ascii="Questa-Regular" w:hAnsi="Questa-Regular" w:cs="Tahoma"/>
          <w:i/>
          <w:shd w:val="clear" w:color="auto" w:fill="FFFFFF"/>
        </w:rPr>
        <w:t>Stk. 2.</w:t>
      </w:r>
      <w:r w:rsidRPr="0007783B">
        <w:rPr>
          <w:rFonts w:ascii="Questa-Regular" w:hAnsi="Questa-Regular" w:cs="Tahoma"/>
          <w:shd w:val="clear" w:color="auto" w:fill="FFFFFF"/>
        </w:rPr>
        <w:t xml:space="preserve"> Den i stk. 1, nr. 1, anførte takst anvendes også særskilt for udtalelser om, hvorvidt det på nærmere angivne tidspunkter på grundlag af nærmere anførte sagsakter var muligt at skønne midlertidigt eller endeligt over skadelidtes fremtidige erhvervsevne, uanset om der samtidig anmodes om andre udtalelser. </w:t>
      </w:r>
    </w:p>
    <w:p w14:paraId="762528C6" w14:textId="77777777" w:rsidR="004E10F4" w:rsidRPr="0007783B" w:rsidRDefault="004E10F4" w:rsidP="00CB143B">
      <w:pPr>
        <w:spacing w:after="5" w:line="240" w:lineRule="auto"/>
        <w:ind w:left="528" w:right="2" w:firstLine="208"/>
        <w:jc w:val="both"/>
        <w:rPr>
          <w:rFonts w:ascii="Questa-Regular" w:hAnsi="Questa-Regular" w:cs="Tahoma"/>
          <w:shd w:val="clear" w:color="auto" w:fill="FFFFFF"/>
        </w:rPr>
      </w:pPr>
      <w:r w:rsidRPr="0007783B">
        <w:rPr>
          <w:rFonts w:ascii="Questa-Regular" w:hAnsi="Questa-Regular" w:cs="Tahoma"/>
          <w:i/>
          <w:shd w:val="clear" w:color="auto" w:fill="FFFFFF"/>
        </w:rPr>
        <w:t>Stk. 3.</w:t>
      </w:r>
      <w:r w:rsidRPr="0007783B">
        <w:rPr>
          <w:rFonts w:ascii="Questa-Regular" w:hAnsi="Questa-Regular" w:cs="Tahoma"/>
          <w:shd w:val="clear" w:color="auto" w:fill="FFFFFF"/>
        </w:rPr>
        <w:t xml:space="preserve"> Beløb efter stk. 1 og 2 indbetales samtidig med anmodningen om udtalelsen. </w:t>
      </w:r>
    </w:p>
    <w:p w14:paraId="0A9A2A52" w14:textId="77777777" w:rsidR="004E10F4" w:rsidRPr="0007783B" w:rsidRDefault="004E10F4" w:rsidP="00CB143B">
      <w:pPr>
        <w:spacing w:after="0" w:line="240" w:lineRule="auto"/>
        <w:ind w:left="533"/>
        <w:rPr>
          <w:rFonts w:ascii="Questa-Regular" w:hAnsi="Questa-Regular" w:cs="Tahoma"/>
          <w:shd w:val="clear" w:color="auto" w:fill="FFFFFF"/>
        </w:rPr>
      </w:pPr>
      <w:r w:rsidRPr="0007783B">
        <w:rPr>
          <w:rFonts w:ascii="Questa-Regular" w:hAnsi="Questa-Regular" w:cs="Tahoma"/>
          <w:shd w:val="clear" w:color="auto" w:fill="FFFFFF"/>
        </w:rPr>
        <w:t xml:space="preserve"> </w:t>
      </w:r>
    </w:p>
    <w:p w14:paraId="57563EF7" w14:textId="77777777" w:rsidR="004E10F4" w:rsidRPr="0007783B" w:rsidRDefault="004E10F4" w:rsidP="00CB143B">
      <w:pPr>
        <w:spacing w:after="5" w:line="240" w:lineRule="auto"/>
        <w:ind w:left="535" w:hanging="10"/>
        <w:jc w:val="center"/>
        <w:rPr>
          <w:rFonts w:ascii="Questa-Regular" w:hAnsi="Questa-Regular" w:cs="Tahoma"/>
          <w:shd w:val="clear" w:color="auto" w:fill="FFFFFF"/>
        </w:rPr>
      </w:pPr>
      <w:r w:rsidRPr="0007783B">
        <w:rPr>
          <w:rFonts w:ascii="Questa-Regular" w:hAnsi="Questa-Regular" w:cs="Tahoma"/>
          <w:shd w:val="clear" w:color="auto" w:fill="FFFFFF"/>
        </w:rPr>
        <w:t xml:space="preserve">Ikrafttræden </w:t>
      </w:r>
    </w:p>
    <w:p w14:paraId="22BA65E5" w14:textId="77777777" w:rsidR="004E10F4" w:rsidRPr="0007783B" w:rsidRDefault="004E10F4" w:rsidP="00CB143B">
      <w:pPr>
        <w:spacing w:after="0" w:line="240" w:lineRule="auto"/>
        <w:ind w:left="582"/>
        <w:jc w:val="center"/>
        <w:rPr>
          <w:rFonts w:ascii="Questa-Regular" w:hAnsi="Questa-Regular" w:cs="Tahoma"/>
          <w:shd w:val="clear" w:color="auto" w:fill="FFFFFF"/>
        </w:rPr>
      </w:pPr>
      <w:r w:rsidRPr="0007783B">
        <w:rPr>
          <w:rFonts w:ascii="Questa-Regular" w:hAnsi="Questa-Regular" w:cs="Tahoma"/>
          <w:shd w:val="clear" w:color="auto" w:fill="FFFFFF"/>
        </w:rPr>
        <w:t xml:space="preserve"> </w:t>
      </w:r>
    </w:p>
    <w:p w14:paraId="63E3C5B3" w14:textId="1A70FA09" w:rsidR="004E10F4" w:rsidRPr="0007783B" w:rsidRDefault="00CB143B" w:rsidP="00CB143B">
      <w:pPr>
        <w:spacing w:after="5" w:line="240" w:lineRule="auto"/>
        <w:ind w:right="2" w:firstLine="535"/>
        <w:jc w:val="both"/>
        <w:rPr>
          <w:rFonts w:ascii="Questa-Regular" w:hAnsi="Questa-Regular" w:cs="Tahoma"/>
          <w:shd w:val="clear" w:color="auto" w:fill="FFFFFF"/>
        </w:rPr>
      </w:pPr>
      <w:r w:rsidRPr="0007783B">
        <w:rPr>
          <w:rFonts w:ascii="Questa-Regular" w:hAnsi="Questa-Regular" w:cs="Tahoma"/>
          <w:b/>
          <w:shd w:val="clear" w:color="auto" w:fill="FFFFFF"/>
        </w:rPr>
        <w:t xml:space="preserve">   </w:t>
      </w:r>
      <w:r w:rsidR="004E10F4" w:rsidRPr="0007783B">
        <w:rPr>
          <w:rFonts w:ascii="Questa-Regular" w:hAnsi="Questa-Regular" w:cs="Tahoma"/>
          <w:b/>
          <w:shd w:val="clear" w:color="auto" w:fill="FFFFFF"/>
        </w:rPr>
        <w:t>§ 4.</w:t>
      </w:r>
      <w:r w:rsidR="004E10F4" w:rsidRPr="0007783B">
        <w:rPr>
          <w:rFonts w:ascii="Questa-Regular" w:hAnsi="Questa-Regular" w:cs="Tahoma"/>
          <w:shd w:val="clear" w:color="auto" w:fill="FFFFFF"/>
        </w:rPr>
        <w:t xml:space="preserve"> Bekendtgørelsen træder i kraft den 1. januar 202</w:t>
      </w:r>
      <w:r w:rsidR="00E06C24" w:rsidRPr="0007783B">
        <w:rPr>
          <w:rFonts w:ascii="Questa-Regular" w:hAnsi="Questa-Regular" w:cs="Tahoma"/>
          <w:shd w:val="clear" w:color="auto" w:fill="FFFFFF"/>
        </w:rPr>
        <w:t>6</w:t>
      </w:r>
      <w:r w:rsidR="004E10F4" w:rsidRPr="0007783B">
        <w:rPr>
          <w:rFonts w:ascii="Questa-Regular" w:hAnsi="Questa-Regular" w:cs="Tahoma"/>
          <w:shd w:val="clear" w:color="auto" w:fill="FFFFFF"/>
        </w:rPr>
        <w:t xml:space="preserve">.   </w:t>
      </w:r>
    </w:p>
    <w:p w14:paraId="3424571E" w14:textId="45053B74" w:rsidR="004E10F4" w:rsidRPr="0007783B" w:rsidRDefault="00CB143B" w:rsidP="00CB143B">
      <w:pPr>
        <w:spacing w:after="5" w:line="240" w:lineRule="auto"/>
        <w:ind w:left="535" w:right="2"/>
        <w:jc w:val="both"/>
        <w:rPr>
          <w:rFonts w:ascii="Questa-Regular" w:hAnsi="Questa-Regular" w:cs="Tahoma"/>
          <w:shd w:val="clear" w:color="auto" w:fill="FFFFFF"/>
        </w:rPr>
      </w:pPr>
      <w:r w:rsidRPr="0007783B">
        <w:rPr>
          <w:rFonts w:ascii="Questa-Regular" w:hAnsi="Questa-Regular" w:cs="Tahoma"/>
          <w:i/>
          <w:shd w:val="clear" w:color="auto" w:fill="FFFFFF"/>
        </w:rPr>
        <w:t xml:space="preserve">   </w:t>
      </w:r>
      <w:r w:rsidR="004E10F4" w:rsidRPr="0007783B">
        <w:rPr>
          <w:rFonts w:ascii="Questa-Regular" w:hAnsi="Questa-Regular" w:cs="Tahoma"/>
          <w:i/>
          <w:shd w:val="clear" w:color="auto" w:fill="FFFFFF"/>
        </w:rPr>
        <w:t>Stk. 2.</w:t>
      </w:r>
      <w:r w:rsidR="004E10F4" w:rsidRPr="0007783B">
        <w:rPr>
          <w:rFonts w:ascii="Questa-Regular" w:hAnsi="Questa-Regular" w:cs="Tahoma"/>
          <w:shd w:val="clear" w:color="auto" w:fill="FFFFFF"/>
        </w:rPr>
        <w:t xml:space="preserve"> Bekendtgørelse nr. </w:t>
      </w:r>
      <w:r w:rsidR="00E06C24" w:rsidRPr="0007783B">
        <w:rPr>
          <w:rFonts w:ascii="Questa-Regular" w:hAnsi="Questa-Regular" w:cs="Tahoma"/>
          <w:shd w:val="clear" w:color="auto" w:fill="FFFFFF"/>
        </w:rPr>
        <w:t>1520</w:t>
      </w:r>
      <w:r w:rsidR="004E10F4" w:rsidRPr="0007783B">
        <w:rPr>
          <w:rFonts w:ascii="Questa-Regular" w:hAnsi="Questa-Regular" w:cs="Tahoma"/>
          <w:shd w:val="clear" w:color="auto" w:fill="FFFFFF"/>
        </w:rPr>
        <w:t xml:space="preserve"> af </w:t>
      </w:r>
      <w:r w:rsidR="00E06C24" w:rsidRPr="0007783B">
        <w:rPr>
          <w:rFonts w:ascii="Questa-Regular" w:hAnsi="Questa-Regular" w:cs="Tahoma"/>
          <w:shd w:val="clear" w:color="auto" w:fill="FFFFFF"/>
        </w:rPr>
        <w:t>12. december</w:t>
      </w:r>
      <w:r w:rsidR="004E10F4" w:rsidRPr="0007783B">
        <w:rPr>
          <w:rFonts w:ascii="Questa-Regular" w:hAnsi="Questa-Regular" w:cs="Tahoma"/>
          <w:shd w:val="clear" w:color="auto" w:fill="FFFFFF"/>
        </w:rPr>
        <w:t xml:space="preserve"> 2024 om takster for administration pr. </w:t>
      </w:r>
      <w:r w:rsidR="00E06C24" w:rsidRPr="0007783B">
        <w:rPr>
          <w:rFonts w:ascii="Questa-Regular" w:hAnsi="Questa-Regular" w:cs="Tahoma"/>
          <w:shd w:val="clear" w:color="auto" w:fill="FFFFFF"/>
        </w:rPr>
        <w:t>1</w:t>
      </w:r>
      <w:r w:rsidR="004E10F4" w:rsidRPr="0007783B">
        <w:rPr>
          <w:rFonts w:ascii="Questa-Regular" w:hAnsi="Questa-Regular" w:cs="Tahoma"/>
          <w:shd w:val="clear" w:color="auto" w:fill="FFFFFF"/>
        </w:rPr>
        <w:t>. januar 202</w:t>
      </w:r>
      <w:r w:rsidR="00E06C24" w:rsidRPr="0007783B">
        <w:rPr>
          <w:rFonts w:ascii="Questa-Regular" w:hAnsi="Questa-Regular" w:cs="Tahoma"/>
          <w:shd w:val="clear" w:color="auto" w:fill="FFFFFF"/>
        </w:rPr>
        <w:t>5</w:t>
      </w:r>
      <w:r w:rsidR="004E10F4" w:rsidRPr="0007783B">
        <w:rPr>
          <w:rFonts w:ascii="Questa-Regular" w:hAnsi="Questa-Regular" w:cs="Tahoma"/>
          <w:shd w:val="clear" w:color="auto" w:fill="FFFFFF"/>
        </w:rPr>
        <w:t xml:space="preserve"> i henhold til lov om arbejdsskadesikring i Grønland ophæves. </w:t>
      </w:r>
    </w:p>
    <w:p w14:paraId="712EF3BC" w14:textId="77777777" w:rsidR="004E10F4" w:rsidRPr="0007783B" w:rsidRDefault="004E10F4" w:rsidP="00CB143B">
      <w:pPr>
        <w:spacing w:after="0" w:line="240" w:lineRule="auto"/>
        <w:ind w:left="533"/>
        <w:rPr>
          <w:rFonts w:ascii="Questa-Regular" w:hAnsi="Questa-Regular" w:cs="Tahoma"/>
          <w:shd w:val="clear" w:color="auto" w:fill="FFFFFF"/>
        </w:rPr>
      </w:pPr>
      <w:r w:rsidRPr="0007783B">
        <w:rPr>
          <w:rFonts w:ascii="Questa-Regular" w:hAnsi="Questa-Regular" w:cs="Tahoma"/>
          <w:shd w:val="clear" w:color="auto" w:fill="FFFFFF"/>
        </w:rPr>
        <w:t xml:space="preserve"> </w:t>
      </w:r>
    </w:p>
    <w:p w14:paraId="31496B55" w14:textId="77777777" w:rsidR="004E10F4" w:rsidRPr="0007783B" w:rsidRDefault="004E10F4" w:rsidP="00CB143B">
      <w:pPr>
        <w:spacing w:after="0" w:line="240" w:lineRule="auto"/>
        <w:ind w:left="533"/>
        <w:rPr>
          <w:rFonts w:ascii="Questa-Regular" w:hAnsi="Questa-Regular" w:cs="Tahoma"/>
          <w:shd w:val="clear" w:color="auto" w:fill="FFFFFF"/>
        </w:rPr>
      </w:pPr>
    </w:p>
    <w:p w14:paraId="68A7756B" w14:textId="77777777" w:rsidR="004E10F4" w:rsidRPr="0007783B" w:rsidRDefault="004E10F4" w:rsidP="00CB143B">
      <w:pPr>
        <w:spacing w:after="0" w:line="240" w:lineRule="auto"/>
        <w:ind w:left="527"/>
        <w:jc w:val="center"/>
        <w:rPr>
          <w:rFonts w:ascii="Questa-Regular" w:hAnsi="Questa-Regular" w:cs="Tahoma"/>
          <w:shd w:val="clear" w:color="auto" w:fill="FFFFFF"/>
        </w:rPr>
      </w:pPr>
      <w:r w:rsidRPr="0007783B">
        <w:rPr>
          <w:rFonts w:ascii="Questa-Regular" w:hAnsi="Questa-Regular" w:cs="Tahoma"/>
          <w:shd w:val="clear" w:color="auto" w:fill="FFFFFF"/>
        </w:rPr>
        <w:t xml:space="preserve">Beskæftigelsesministeriet, </w:t>
      </w:r>
    </w:p>
    <w:p w14:paraId="7B506608" w14:textId="77777777" w:rsidR="004E10F4" w:rsidRPr="0007783B" w:rsidRDefault="004E10F4" w:rsidP="00CB143B">
      <w:pPr>
        <w:spacing w:after="0" w:line="240" w:lineRule="auto"/>
        <w:ind w:left="527"/>
        <w:jc w:val="center"/>
        <w:rPr>
          <w:rFonts w:ascii="Questa-Regular" w:hAnsi="Questa-Regular" w:cs="Tahoma"/>
          <w:shd w:val="clear" w:color="auto" w:fill="FFFFFF"/>
        </w:rPr>
      </w:pPr>
    </w:p>
    <w:p w14:paraId="56672AC7" w14:textId="1CCFDF4F" w:rsidR="004E10F4" w:rsidRPr="0007783B" w:rsidRDefault="00D75183" w:rsidP="00CB143B">
      <w:pPr>
        <w:spacing w:after="0" w:line="240" w:lineRule="auto"/>
        <w:ind w:left="527"/>
        <w:jc w:val="center"/>
        <w:rPr>
          <w:rFonts w:ascii="Questa-Regular" w:hAnsi="Questa-Regular" w:cs="Tahoma"/>
          <w:shd w:val="clear" w:color="auto" w:fill="FFFFFF"/>
        </w:rPr>
      </w:pPr>
      <w:r w:rsidRPr="0007783B">
        <w:rPr>
          <w:rFonts w:ascii="Questa-Regular" w:hAnsi="Questa-Regular" w:cs="Tahoma"/>
          <w:shd w:val="clear" w:color="auto" w:fill="FFFFFF"/>
        </w:rPr>
        <w:t>Kaare Dybvad Bek</w:t>
      </w:r>
    </w:p>
    <w:p w14:paraId="4EE10775" w14:textId="77777777" w:rsidR="004E10F4" w:rsidRPr="0007783B" w:rsidRDefault="004E10F4" w:rsidP="00CB143B">
      <w:pPr>
        <w:tabs>
          <w:tab w:val="center" w:pos="1884"/>
          <w:tab w:val="center" w:pos="3188"/>
          <w:tab w:val="center" w:pos="4494"/>
          <w:tab w:val="center" w:pos="5797"/>
          <w:tab w:val="center" w:pos="7101"/>
          <w:tab w:val="right" w:pos="10174"/>
        </w:tabs>
        <w:spacing w:after="0" w:line="240" w:lineRule="auto"/>
        <w:rPr>
          <w:rFonts w:ascii="Questa-Regular" w:eastAsia="Times New Roman" w:hAnsi="Questa-Regular" w:cs="Times New Roman"/>
        </w:rPr>
      </w:pPr>
      <w:r w:rsidRPr="0007783B">
        <w:rPr>
          <w:rFonts w:ascii="Questa-Regular" w:eastAsia="Times New Roman" w:hAnsi="Questa-Regular" w:cs="Times New Roman"/>
        </w:rPr>
        <w:tab/>
        <w:t xml:space="preserve"> </w:t>
      </w:r>
      <w:r w:rsidRPr="0007783B">
        <w:rPr>
          <w:rFonts w:ascii="Questa-Regular" w:eastAsia="Times New Roman" w:hAnsi="Questa-Regular" w:cs="Times New Roman"/>
        </w:rPr>
        <w:tab/>
      </w:r>
    </w:p>
    <w:p w14:paraId="29E7F450" w14:textId="626D398A" w:rsidR="004E10F4" w:rsidRPr="00CB143B" w:rsidRDefault="004E10F4" w:rsidP="00CB143B">
      <w:pPr>
        <w:tabs>
          <w:tab w:val="center" w:pos="1884"/>
          <w:tab w:val="center" w:pos="3188"/>
          <w:tab w:val="center" w:pos="4494"/>
          <w:tab w:val="center" w:pos="5797"/>
          <w:tab w:val="center" w:pos="7101"/>
          <w:tab w:val="right" w:pos="10174"/>
        </w:tabs>
        <w:spacing w:after="0" w:line="240" w:lineRule="auto"/>
        <w:jc w:val="right"/>
        <w:rPr>
          <w:rFonts w:ascii="Questa-Regular" w:hAnsi="Questa-Regular" w:cs="Tahoma"/>
          <w:shd w:val="clear" w:color="auto" w:fill="FFFFFF"/>
        </w:rPr>
      </w:pPr>
      <w:r w:rsidRPr="0007783B">
        <w:rPr>
          <w:rFonts w:ascii="Questa-Regular" w:hAnsi="Questa-Regular" w:cs="Tahoma"/>
          <w:shd w:val="clear" w:color="auto" w:fill="FFFFFF"/>
        </w:rPr>
        <w:t xml:space="preserve">/ </w:t>
      </w:r>
      <w:r w:rsidR="007A4038">
        <w:rPr>
          <w:rFonts w:ascii="Questa-Regular" w:hAnsi="Questa-Regular" w:cs="Tahoma"/>
          <w:shd w:val="clear" w:color="auto" w:fill="FFFFFF"/>
        </w:rPr>
        <w:t>Marianne Sørensen</w:t>
      </w:r>
    </w:p>
    <w:p w14:paraId="42946E9D" w14:textId="77777777" w:rsidR="004E10F4" w:rsidRPr="00CB143B" w:rsidRDefault="004E10F4" w:rsidP="00CB143B">
      <w:pPr>
        <w:spacing w:line="240" w:lineRule="auto"/>
        <w:rPr>
          <w:rFonts w:ascii="Questa-Regular" w:hAnsi="Questa-Regular"/>
        </w:rPr>
      </w:pPr>
    </w:p>
    <w:sectPr w:rsidR="004E10F4" w:rsidRPr="00CB143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F1E4" w14:textId="77777777" w:rsidR="007C055B" w:rsidRDefault="007C055B" w:rsidP="004E10F4">
      <w:pPr>
        <w:spacing w:after="0" w:line="240" w:lineRule="auto"/>
      </w:pPr>
      <w:r>
        <w:separator/>
      </w:r>
    </w:p>
  </w:endnote>
  <w:endnote w:type="continuationSeparator" w:id="0">
    <w:p w14:paraId="08510A0C" w14:textId="77777777" w:rsidR="007C055B" w:rsidRDefault="007C055B" w:rsidP="004E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5FEC" w14:textId="77777777" w:rsidR="007C055B" w:rsidRDefault="007C055B" w:rsidP="004E10F4">
      <w:pPr>
        <w:spacing w:after="0" w:line="240" w:lineRule="auto"/>
      </w:pPr>
      <w:r>
        <w:separator/>
      </w:r>
    </w:p>
  </w:footnote>
  <w:footnote w:type="continuationSeparator" w:id="0">
    <w:p w14:paraId="4B63024C" w14:textId="77777777" w:rsidR="007C055B" w:rsidRDefault="007C055B" w:rsidP="004E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F48AD"/>
    <w:multiLevelType w:val="hybridMultilevel"/>
    <w:tmpl w:val="97041E5E"/>
    <w:lvl w:ilvl="0" w:tplc="790896DA">
      <w:start w:val="1"/>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EE5BA2">
      <w:start w:val="1"/>
      <w:numFmt w:val="lowerLetter"/>
      <w:lvlText w:val="%2"/>
      <w:lvlJc w:val="left"/>
      <w:pPr>
        <w:ind w:left="1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B85980">
      <w:start w:val="1"/>
      <w:numFmt w:val="lowerRoman"/>
      <w:lvlText w:val="%3"/>
      <w:lvlJc w:val="left"/>
      <w:pPr>
        <w:ind w:left="2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6E89F8">
      <w:start w:val="1"/>
      <w:numFmt w:val="decimal"/>
      <w:lvlText w:val="%4"/>
      <w:lvlJc w:val="left"/>
      <w:pPr>
        <w:ind w:left="3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D6EF56">
      <w:start w:val="1"/>
      <w:numFmt w:val="lowerLetter"/>
      <w:lvlText w:val="%5"/>
      <w:lvlJc w:val="left"/>
      <w:pPr>
        <w:ind w:left="3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786F2C">
      <w:start w:val="1"/>
      <w:numFmt w:val="lowerRoman"/>
      <w:lvlText w:val="%6"/>
      <w:lvlJc w:val="left"/>
      <w:pPr>
        <w:ind w:left="4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8A6C2C">
      <w:start w:val="1"/>
      <w:numFmt w:val="decimal"/>
      <w:lvlText w:val="%7"/>
      <w:lvlJc w:val="left"/>
      <w:pPr>
        <w:ind w:left="5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8A61DE">
      <w:start w:val="1"/>
      <w:numFmt w:val="lowerLetter"/>
      <w:lvlText w:val="%8"/>
      <w:lvlJc w:val="left"/>
      <w:pPr>
        <w:ind w:left="5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8C7592">
      <w:start w:val="1"/>
      <w:numFmt w:val="lowerRoman"/>
      <w:lvlText w:val="%9"/>
      <w:lvlJc w:val="left"/>
      <w:pPr>
        <w:ind w:left="6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2F084F"/>
    <w:multiLevelType w:val="hybridMultilevel"/>
    <w:tmpl w:val="BCD0FE86"/>
    <w:lvl w:ilvl="0" w:tplc="E992042C">
      <w:start w:val="1"/>
      <w:numFmt w:val="decimal"/>
      <w:lvlText w:val="%1)"/>
      <w:lvlJc w:val="left"/>
      <w:pPr>
        <w:ind w:left="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BCE956">
      <w:start w:val="1"/>
      <w:numFmt w:val="lowerLetter"/>
      <w:lvlText w:val="%2"/>
      <w:lvlJc w:val="left"/>
      <w:pPr>
        <w:ind w:left="1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D4151E">
      <w:start w:val="1"/>
      <w:numFmt w:val="lowerRoman"/>
      <w:lvlText w:val="%3"/>
      <w:lvlJc w:val="left"/>
      <w:pPr>
        <w:ind w:left="2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7AF7B4">
      <w:start w:val="1"/>
      <w:numFmt w:val="decimal"/>
      <w:lvlText w:val="%4"/>
      <w:lvlJc w:val="left"/>
      <w:pPr>
        <w:ind w:left="3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443F90">
      <w:start w:val="1"/>
      <w:numFmt w:val="lowerLetter"/>
      <w:lvlText w:val="%5"/>
      <w:lvlJc w:val="left"/>
      <w:pPr>
        <w:ind w:left="3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58FCDE">
      <w:start w:val="1"/>
      <w:numFmt w:val="lowerRoman"/>
      <w:lvlText w:val="%6"/>
      <w:lvlJc w:val="left"/>
      <w:pPr>
        <w:ind w:left="4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5E5068">
      <w:start w:val="1"/>
      <w:numFmt w:val="decimal"/>
      <w:lvlText w:val="%7"/>
      <w:lvlJc w:val="left"/>
      <w:pPr>
        <w:ind w:left="5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0A775E">
      <w:start w:val="1"/>
      <w:numFmt w:val="lowerLetter"/>
      <w:lvlText w:val="%8"/>
      <w:lvlJc w:val="left"/>
      <w:pPr>
        <w:ind w:left="5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D4D16E">
      <w:start w:val="1"/>
      <w:numFmt w:val="lowerRoman"/>
      <w:lvlText w:val="%9"/>
      <w:lvlJc w:val="left"/>
      <w:pPr>
        <w:ind w:left="6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64756102">
    <w:abstractNumId w:val="0"/>
  </w:num>
  <w:num w:numId="2" w16cid:durableId="33823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F4"/>
    <w:rsid w:val="0007783B"/>
    <w:rsid w:val="00101688"/>
    <w:rsid w:val="00136319"/>
    <w:rsid w:val="001F1D20"/>
    <w:rsid w:val="0020602F"/>
    <w:rsid w:val="002918D8"/>
    <w:rsid w:val="002A54FA"/>
    <w:rsid w:val="003A4B9B"/>
    <w:rsid w:val="003C2452"/>
    <w:rsid w:val="00421865"/>
    <w:rsid w:val="00460AA6"/>
    <w:rsid w:val="004D192E"/>
    <w:rsid w:val="004E10F4"/>
    <w:rsid w:val="0050736C"/>
    <w:rsid w:val="00607C43"/>
    <w:rsid w:val="006A3987"/>
    <w:rsid w:val="006D021E"/>
    <w:rsid w:val="007A4038"/>
    <w:rsid w:val="007C055B"/>
    <w:rsid w:val="008D76AC"/>
    <w:rsid w:val="009D54B8"/>
    <w:rsid w:val="00A504A7"/>
    <w:rsid w:val="00AA1CED"/>
    <w:rsid w:val="00AC4A06"/>
    <w:rsid w:val="00AD27D0"/>
    <w:rsid w:val="00B52D2F"/>
    <w:rsid w:val="00BC674D"/>
    <w:rsid w:val="00BD208C"/>
    <w:rsid w:val="00BF1F92"/>
    <w:rsid w:val="00C11D74"/>
    <w:rsid w:val="00C13DEB"/>
    <w:rsid w:val="00C4392D"/>
    <w:rsid w:val="00C85A2C"/>
    <w:rsid w:val="00CB143B"/>
    <w:rsid w:val="00D10515"/>
    <w:rsid w:val="00D75183"/>
    <w:rsid w:val="00DB34CC"/>
    <w:rsid w:val="00DC3942"/>
    <w:rsid w:val="00DD4794"/>
    <w:rsid w:val="00E06C24"/>
    <w:rsid w:val="00E12120"/>
    <w:rsid w:val="00EC76B5"/>
    <w:rsid w:val="00ED7CE2"/>
    <w:rsid w:val="00F14D5A"/>
    <w:rsid w:val="00F77E08"/>
    <w:rsid w:val="00FA53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0BBE"/>
  <w15:chartTrackingRefBased/>
  <w15:docId w15:val="{D26485E0-25AB-4B07-A043-FAAEDD8F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F4"/>
    <w:rPr>
      <w:rFonts w:ascii="Calibri" w:eastAsia="Calibri" w:hAnsi="Calibri" w:cs="Calibri"/>
      <w:color w:val="000000"/>
      <w:lang w:eastAsia="da-DK"/>
    </w:rPr>
  </w:style>
  <w:style w:type="paragraph" w:styleId="Overskrift1">
    <w:name w:val="heading 1"/>
    <w:next w:val="Normal"/>
    <w:link w:val="Overskrift1Tegn"/>
    <w:uiPriority w:val="9"/>
    <w:unhideWhenUsed/>
    <w:qFormat/>
    <w:rsid w:val="004E10F4"/>
    <w:pPr>
      <w:keepNext/>
      <w:keepLines/>
      <w:spacing w:after="0" w:line="238" w:lineRule="auto"/>
      <w:ind w:left="533"/>
      <w:outlineLvl w:val="0"/>
    </w:pPr>
    <w:rPr>
      <w:rFonts w:ascii="Times New Roman" w:eastAsia="Times New Roman" w:hAnsi="Times New Roman" w:cs="Times New Roman"/>
      <w:color w:val="000000"/>
      <w:sz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E10F4"/>
    <w:rPr>
      <w:rFonts w:ascii="Times New Roman" w:eastAsia="Times New Roman" w:hAnsi="Times New Roman" w:cs="Times New Roman"/>
      <w:color w:val="000000"/>
      <w:sz w:val="32"/>
      <w:lang w:eastAsia="da-DK"/>
    </w:rPr>
  </w:style>
  <w:style w:type="character" w:customStyle="1" w:styleId="paragrafnr">
    <w:name w:val="paragrafnr"/>
    <w:basedOn w:val="Standardskrifttypeiafsnit"/>
    <w:rsid w:val="004E10F4"/>
  </w:style>
  <w:style w:type="paragraph" w:styleId="Sidehoved">
    <w:name w:val="header"/>
    <w:basedOn w:val="Normal"/>
    <w:link w:val="SidehovedTegn"/>
    <w:uiPriority w:val="99"/>
    <w:unhideWhenUsed/>
    <w:rsid w:val="004E10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10F4"/>
    <w:rPr>
      <w:rFonts w:ascii="Calibri" w:eastAsia="Calibri" w:hAnsi="Calibri" w:cs="Calibri"/>
      <w:color w:val="000000"/>
      <w:lang w:eastAsia="da-DK"/>
    </w:rPr>
  </w:style>
  <w:style w:type="paragraph" w:styleId="Sidefod">
    <w:name w:val="footer"/>
    <w:basedOn w:val="Normal"/>
    <w:link w:val="SidefodTegn"/>
    <w:uiPriority w:val="99"/>
    <w:unhideWhenUsed/>
    <w:rsid w:val="004E10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10F4"/>
    <w:rPr>
      <w:rFonts w:ascii="Calibri" w:eastAsia="Calibri" w:hAnsi="Calibri" w:cs="Calibri"/>
      <w:color w:val="000000"/>
      <w:lang w:eastAsia="da-DK"/>
    </w:rPr>
  </w:style>
  <w:style w:type="character" w:styleId="Kommentarhenvisning">
    <w:name w:val="annotation reference"/>
    <w:basedOn w:val="Standardskrifttypeiafsnit"/>
    <w:uiPriority w:val="99"/>
    <w:semiHidden/>
    <w:unhideWhenUsed/>
    <w:rsid w:val="00E06C24"/>
    <w:rPr>
      <w:sz w:val="16"/>
      <w:szCs w:val="16"/>
    </w:rPr>
  </w:style>
  <w:style w:type="paragraph" w:styleId="Kommentartekst">
    <w:name w:val="annotation text"/>
    <w:basedOn w:val="Normal"/>
    <w:link w:val="KommentartekstTegn"/>
    <w:uiPriority w:val="99"/>
    <w:semiHidden/>
    <w:unhideWhenUsed/>
    <w:rsid w:val="00E06C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06C24"/>
    <w:rPr>
      <w:rFonts w:ascii="Calibri" w:eastAsia="Calibri" w:hAnsi="Calibri" w:cs="Calibri"/>
      <w:color w:val="000000"/>
      <w:sz w:val="20"/>
      <w:szCs w:val="20"/>
      <w:lang w:eastAsia="da-DK"/>
    </w:rPr>
  </w:style>
  <w:style w:type="paragraph" w:styleId="Kommentaremne">
    <w:name w:val="annotation subject"/>
    <w:basedOn w:val="Kommentartekst"/>
    <w:next w:val="Kommentartekst"/>
    <w:link w:val="KommentaremneTegn"/>
    <w:uiPriority w:val="99"/>
    <w:semiHidden/>
    <w:unhideWhenUsed/>
    <w:rsid w:val="00E06C24"/>
    <w:rPr>
      <w:b/>
      <w:bCs/>
    </w:rPr>
  </w:style>
  <w:style w:type="character" w:customStyle="1" w:styleId="KommentaremneTegn">
    <w:name w:val="Kommentaremne Tegn"/>
    <w:basedOn w:val="KommentartekstTegn"/>
    <w:link w:val="Kommentaremne"/>
    <w:uiPriority w:val="99"/>
    <w:semiHidden/>
    <w:rsid w:val="00E06C24"/>
    <w:rPr>
      <w:rFonts w:ascii="Calibri" w:eastAsia="Calibri" w:hAnsi="Calibri" w:cs="Calibri"/>
      <w:b/>
      <w:bCs/>
      <w:color w:val="000000"/>
      <w:sz w:val="20"/>
      <w:szCs w:val="20"/>
      <w:lang w:eastAsia="da-DK"/>
    </w:rPr>
  </w:style>
  <w:style w:type="paragraph" w:styleId="Markeringsbobletekst">
    <w:name w:val="Balloon Text"/>
    <w:basedOn w:val="Normal"/>
    <w:link w:val="MarkeringsbobletekstTegn"/>
    <w:uiPriority w:val="99"/>
    <w:semiHidden/>
    <w:unhideWhenUsed/>
    <w:rsid w:val="00E06C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06C24"/>
    <w:rPr>
      <w:rFonts w:ascii="Segoe UI" w:eastAsia="Calibri" w:hAnsi="Segoe UI" w:cs="Segoe UI"/>
      <w:color w:val="000000"/>
      <w:sz w:val="18"/>
      <w:szCs w:val="18"/>
      <w:lang w:eastAsia="da-DK"/>
    </w:rPr>
  </w:style>
  <w:style w:type="paragraph" w:styleId="Korrektur">
    <w:name w:val="Revision"/>
    <w:hidden/>
    <w:uiPriority w:val="99"/>
    <w:semiHidden/>
    <w:rsid w:val="006A3987"/>
    <w:pPr>
      <w:spacing w:after="0" w:line="240" w:lineRule="auto"/>
    </w:pPr>
    <w:rPr>
      <w:rFonts w:ascii="Calibri" w:eastAsia="Calibri" w:hAnsi="Calibri" w:cs="Calibri"/>
      <w:color w:val="00000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321</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Dalsgaard Madsen</dc:creator>
  <cp:keywords/>
  <dc:description/>
  <cp:lastModifiedBy>Rikke Breitenstein Nissen</cp:lastModifiedBy>
  <cp:revision>20</cp:revision>
  <dcterms:created xsi:type="dcterms:W3CDTF">2024-10-03T14:14:00Z</dcterms:created>
  <dcterms:modified xsi:type="dcterms:W3CDTF">2025-10-13T12:47:00Z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