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458" w:rsidP="00DC3BAC" w:rsidRDefault="00F22458" w14:paraId="0FB6F131" w14:textId="77777777"/>
    <w:p w:rsidR="00C86591" w:rsidP="00DC3BAC" w:rsidRDefault="00C86591" w14:paraId="784F99C6" w14:textId="77777777"/>
    <w:p w:rsidR="00C86591" w:rsidP="00F8606D" w:rsidRDefault="00606B78" w14:paraId="20CB2AE1" w14:textId="3B405A57">
      <w:pPr>
        <w:ind w:left="6520" w:firstLine="1304"/>
      </w:pPr>
      <w:r>
        <w:t xml:space="preserve">    </w:t>
      </w:r>
    </w:p>
    <w:p w:rsidR="00ED4F63" w:rsidP="00DC3BAC" w:rsidRDefault="00ED4F63" w14:paraId="2D38CD96" w14:textId="77777777"/>
    <w:p w:rsidR="00ED4F63" w:rsidP="00DC3BAC" w:rsidRDefault="00ED4F63" w14:paraId="7733B0C8" w14:textId="77777777"/>
    <w:p w:rsidR="00ED4F63" w:rsidP="00CE2950" w:rsidRDefault="00910D24" w14:paraId="1511D8D4" w14:textId="2010EE05">
      <w:pPr>
        <w:tabs>
          <w:tab w:val="center" w:pos="4960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457220">
        <w:rPr>
          <w:rFonts w:ascii="Arial" w:hAnsi="Arial" w:cs="Arial"/>
          <w:b/>
          <w:bCs/>
          <w:sz w:val="28"/>
          <w:szCs w:val="28"/>
          <w:u w:val="single"/>
        </w:rPr>
        <w:fldChar w:fldCharType="begin"/>
      </w:r>
      <w:r w:rsidRPr="00457220">
        <w:rPr>
          <w:rFonts w:ascii="Arial" w:hAnsi="Arial" w:cs="Arial"/>
          <w:b/>
          <w:bCs/>
          <w:sz w:val="28"/>
          <w:szCs w:val="28"/>
          <w:u w:val="single"/>
        </w:rPr>
        <w:instrText xml:space="preserve"> DOCPROPERTY  "DN_D Dokument titel"  \* MERGEFORMAT </w:instrText>
      </w:r>
      <w:r w:rsidRPr="00457220">
        <w:rPr>
          <w:rFonts w:ascii="Arial" w:hAnsi="Arial" w:cs="Arial"/>
          <w:b/>
          <w:bCs/>
          <w:sz w:val="28"/>
          <w:szCs w:val="28"/>
          <w:u w:val="single"/>
        </w:rPr>
        <w:fldChar w:fldCharType="separate"/>
      </w:r>
      <w:r>
        <w:rPr>
          <w:rFonts w:ascii="Arial" w:hAnsi="Arial" w:cs="Arial"/>
          <w:b/>
          <w:bCs/>
          <w:sz w:val="28"/>
          <w:szCs w:val="28"/>
          <w:u w:val="single"/>
        </w:rPr>
        <w:t>Referat fra møde med TUSASS´ direktør, Toke Binzer.</w:t>
      </w:r>
      <w:r w:rsidRPr="00457220">
        <w:rPr>
          <w:rFonts w:ascii="Arial" w:hAnsi="Arial" w:cs="Arial"/>
          <w:b/>
          <w:bCs/>
          <w:sz w:val="28"/>
          <w:szCs w:val="28"/>
          <w:u w:val="single"/>
        </w:rPr>
        <w:fldChar w:fldCharType="end"/>
      </w:r>
    </w:p>
    <w:p w:rsidR="00457220" w:rsidP="00CE2950" w:rsidRDefault="00457220" w14:paraId="31748139" w14:textId="77777777">
      <w:pPr>
        <w:tabs>
          <w:tab w:val="center" w:pos="4960"/>
        </w:tabs>
        <w:rPr>
          <w:rFonts w:ascii="Arial" w:hAnsi="Arial" w:cs="Arial"/>
          <w:sz w:val="28"/>
          <w:szCs w:val="28"/>
        </w:rPr>
      </w:pPr>
    </w:p>
    <w:p w:rsidR="00457220" w:rsidP="00457220" w:rsidRDefault="00457220" w14:paraId="34C3318D" w14:textId="2941F1A0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Brancheudvalget for IT, Kommunikation og Medier mødtes d.d. med direktør Toke Binzer fra TUSASS. Formålet med mødet var at få oplysninger om, hvilke planer TUSASS og Toke Binzer havde efter </w:t>
      </w:r>
      <w:proofErr w:type="spellStart"/>
      <w:r>
        <w:rPr>
          <w:rFonts w:ascii="Arial" w:hAnsi="Arial" w:cs="Arial"/>
          <w:sz w:val="24"/>
          <w:szCs w:val="24"/>
        </w:rPr>
        <w:t>TB´s</w:t>
      </w:r>
      <w:proofErr w:type="spellEnd"/>
      <w:r>
        <w:rPr>
          <w:rFonts w:ascii="Arial" w:hAnsi="Arial" w:cs="Arial"/>
          <w:sz w:val="24"/>
          <w:szCs w:val="24"/>
        </w:rPr>
        <w:t xml:space="preserve"> tiltrædelse den 1. marts 2024. </w:t>
      </w:r>
    </w:p>
    <w:p w:rsidR="00457220" w:rsidP="00457220" w:rsidRDefault="00457220" w14:paraId="4C8D0F78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457220" w:rsidP="00457220" w:rsidRDefault="00457220" w14:paraId="7A076D61" w14:textId="158FCABD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 stede var:</w:t>
      </w:r>
    </w:p>
    <w:p w:rsidR="0000526F" w:rsidP="00457220" w:rsidRDefault="0000526F" w14:paraId="195BA16D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457220" w:rsidP="00457220" w:rsidRDefault="0000526F" w14:paraId="5DDEC1A0" w14:textId="017E1A51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Toke Binzer, (TB)</w:t>
      </w:r>
    </w:p>
    <w:p w:rsidR="00457220" w:rsidP="00457220" w:rsidRDefault="00457220" w14:paraId="16BFBFF9" w14:textId="76886F25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Morten K.L. Olsen (MKO), fm. (over TEAMS)</w:t>
      </w:r>
    </w:p>
    <w:p w:rsidR="00457220" w:rsidP="00457220" w:rsidRDefault="00457220" w14:paraId="48214F07" w14:textId="64AC80EC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Maren Granlien (MG)</w:t>
      </w:r>
    </w:p>
    <w:p w:rsidR="00457220" w:rsidP="00457220" w:rsidRDefault="00457220" w14:paraId="0E72DE05" w14:textId="58C96BAC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Nicholai Christoffersen (NC)</w:t>
      </w:r>
    </w:p>
    <w:p w:rsidR="00457220" w:rsidP="00457220" w:rsidRDefault="00457220" w14:paraId="72C067ED" w14:textId="4BE4F03F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Martin Vestergaard (MV)</w:t>
      </w:r>
    </w:p>
    <w:p w:rsidR="00457220" w:rsidP="00457220" w:rsidRDefault="00457220" w14:paraId="6C8A2A9D" w14:textId="361F0714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 w:rsidRPr="00457220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 (LKJ)</w:t>
      </w:r>
    </w:p>
    <w:p w:rsidR="00457220" w:rsidP="00457220" w:rsidRDefault="00457220" w14:paraId="6714EE0F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457220" w:rsidP="00457220" w:rsidRDefault="00457220" w14:paraId="269F0B51" w14:textId="062FE4D9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Fraværende:</w:t>
      </w:r>
    </w:p>
    <w:p w:rsidR="00457220" w:rsidP="00457220" w:rsidRDefault="00457220" w14:paraId="04A15A6B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457220" w:rsidP="00457220" w:rsidRDefault="00457220" w14:paraId="1EF630A1" w14:textId="4309A98A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Brian Torp (BTO)</w:t>
      </w:r>
    </w:p>
    <w:p w:rsidR="00457220" w:rsidP="00457220" w:rsidRDefault="00457220" w14:paraId="49271C43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457220" w:rsidP="00457220" w:rsidRDefault="00457220" w14:paraId="0BB76539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6D0D07" w:rsidP="00457220" w:rsidRDefault="006D0D07" w14:paraId="68B9684B" w14:textId="61ACD883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(TB) Strategien er prøvet af på bestyrelsen, og det er hensigten, at den skal godkendes til december.</w:t>
      </w:r>
    </w:p>
    <w:p w:rsidR="006D0D07" w:rsidP="00457220" w:rsidRDefault="006D0D07" w14:paraId="6ACF1D14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6D0D07" w:rsidP="00457220" w:rsidRDefault="006D0D07" w14:paraId="32B07050" w14:textId="4E15FC64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TB tilrettelagde sin gennemgang med plancher:</w:t>
      </w:r>
    </w:p>
    <w:p w:rsidR="006D0D07" w:rsidP="00457220" w:rsidRDefault="006D0D07" w14:paraId="24F51547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6D0D07" w:rsidP="00457220" w:rsidRDefault="006D0D07" w14:paraId="0B4D2B04" w14:textId="15D9184A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nye søkabel koster 1,3 </w:t>
      </w:r>
      <w:proofErr w:type="spellStart"/>
      <w:r>
        <w:rPr>
          <w:rFonts w:ascii="Arial" w:hAnsi="Arial" w:cs="Arial"/>
          <w:sz w:val="24"/>
          <w:szCs w:val="24"/>
        </w:rPr>
        <w:t>mia</w:t>
      </w:r>
      <w:proofErr w:type="spellEnd"/>
      <w:r>
        <w:rPr>
          <w:rFonts w:ascii="Arial" w:hAnsi="Arial" w:cs="Arial"/>
          <w:sz w:val="24"/>
          <w:szCs w:val="24"/>
        </w:rPr>
        <w:t xml:space="preserve"> kr., </w:t>
      </w:r>
      <w:r w:rsidR="009961D8">
        <w:rPr>
          <w:rFonts w:ascii="Arial" w:hAnsi="Arial" w:cs="Arial"/>
          <w:sz w:val="24"/>
          <w:szCs w:val="24"/>
        </w:rPr>
        <w:t>som TUSASS skal have fundet finansiering til. I h.t. planchen. En mulig løsning er, at hvis EU beslutter sig for at lægge et kabel fra EU til Japan kan Grønland evt. koble sig på.</w:t>
      </w:r>
    </w:p>
    <w:p w:rsidR="00F07999" w:rsidP="00457220" w:rsidRDefault="00F07999" w14:paraId="4CFAE8B2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F07999" w:rsidP="00457220" w:rsidRDefault="00F07999" w14:paraId="1E150C1D" w14:textId="15852A93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TUSASS planlægger at bygge datacenter næste år – færdig midt 2026 – og kommer til at koste mage penge.</w:t>
      </w:r>
    </w:p>
    <w:p w:rsidR="00EE13FF" w:rsidP="00457220" w:rsidRDefault="00EE13FF" w14:paraId="6962183B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EE13FF" w:rsidP="00457220" w:rsidRDefault="00EE13FF" w14:paraId="3C79EE69" w14:textId="6DE7953C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blev fra MG efterlyser en større driftsinforation fra TUSASS´ side.</w:t>
      </w:r>
    </w:p>
    <w:p w:rsidR="00EE13FF" w:rsidP="00457220" w:rsidRDefault="00EE13FF" w14:paraId="209C627A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EE13FF" w:rsidP="00457220" w:rsidRDefault="00EE13FF" w14:paraId="3D6112CE" w14:textId="3B423219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MKO efterlyste branchens input til, hvordan vi forbedre sikkerheden i IT området, således at det ikke altid er TUSASS, der bliver skudt på, hvis IT sikkerheden trues.</w:t>
      </w:r>
    </w:p>
    <w:p w:rsidR="00EE13FF" w:rsidP="00457220" w:rsidRDefault="00EE13FF" w14:paraId="17019392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EE13FF" w:rsidP="00457220" w:rsidRDefault="00EE13FF" w14:paraId="7F77481B" w14:textId="10154C8F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efterlystes </w:t>
      </w:r>
      <w:r w:rsidR="00D536A3">
        <w:rPr>
          <w:rFonts w:ascii="Arial" w:hAnsi="Arial" w:cs="Arial"/>
          <w:sz w:val="24"/>
          <w:szCs w:val="24"/>
        </w:rPr>
        <w:t xml:space="preserve">et bedre informationsniveau omkring produkter og services, som TUSASS udbød – en større gennemsigtighed omkring </w:t>
      </w:r>
      <w:proofErr w:type="spellStart"/>
      <w:r w:rsidR="00D536A3">
        <w:rPr>
          <w:rFonts w:ascii="Arial" w:hAnsi="Arial" w:cs="Arial"/>
          <w:sz w:val="24"/>
          <w:szCs w:val="24"/>
        </w:rPr>
        <w:t>TUSASS´s</w:t>
      </w:r>
      <w:proofErr w:type="spellEnd"/>
      <w:r w:rsidR="00D536A3">
        <w:rPr>
          <w:rFonts w:ascii="Arial" w:hAnsi="Arial" w:cs="Arial"/>
          <w:sz w:val="24"/>
          <w:szCs w:val="24"/>
        </w:rPr>
        <w:t xml:space="preserve"> rolle i forhold til erhvervslivet.</w:t>
      </w:r>
    </w:p>
    <w:p w:rsidRPr="00457220" w:rsidR="00D65003" w:rsidP="00457220" w:rsidRDefault="00D65003" w14:paraId="3AA8CC27" w14:textId="77777777">
      <w:pPr>
        <w:tabs>
          <w:tab w:val="center" w:pos="4960"/>
        </w:tabs>
        <w:jc w:val="both"/>
        <w:rPr>
          <w:rFonts w:ascii="Arial" w:hAnsi="Arial" w:cs="Arial"/>
          <w:sz w:val="24"/>
          <w:szCs w:val="24"/>
        </w:rPr>
      </w:pPr>
    </w:p>
    <w:p w:rsidR="00C86591" w:rsidP="00DC3BAC" w:rsidRDefault="00C86591" w14:paraId="68B7ED58" w14:textId="77777777"/>
    <w:p w:rsidR="00E301DE" w:rsidP="00DC3BAC" w:rsidRDefault="00E301DE" w14:paraId="731928E0" w14:textId="77777777"/>
    <w:p w:rsidR="00C86591" w:rsidP="00DC3BAC" w:rsidRDefault="00C86591" w14:paraId="27420666" w14:textId="77777777"/>
    <w:p w:rsidRPr="00457220" w:rsidR="00C86591" w:rsidP="00C86591" w:rsidRDefault="00457220" w14:paraId="2AFC359F" w14:textId="3EAE2EA6">
      <w:pPr>
        <w:jc w:val="center"/>
        <w:rPr>
          <w:rFonts w:ascii="Arial" w:hAnsi="Arial" w:cs="Arial"/>
          <w:sz w:val="24"/>
          <w:szCs w:val="24"/>
        </w:rPr>
      </w:pPr>
      <w:r w:rsidRPr="00457220">
        <w:rPr>
          <w:rFonts w:ascii="Arial" w:hAnsi="Arial" w:cs="Arial"/>
          <w:sz w:val="24"/>
          <w:szCs w:val="24"/>
        </w:rPr>
        <w:t>Nuuk, den 15. november 2024</w:t>
      </w:r>
    </w:p>
    <w:p w:rsidRPr="00457220" w:rsidR="00C86591" w:rsidP="00C86591" w:rsidRDefault="00C86591" w14:paraId="28A1E1F1" w14:textId="77777777">
      <w:pPr>
        <w:jc w:val="center"/>
        <w:rPr>
          <w:rFonts w:ascii="Arial" w:hAnsi="Arial" w:cs="Arial"/>
          <w:sz w:val="24"/>
          <w:szCs w:val="24"/>
        </w:rPr>
      </w:pPr>
    </w:p>
    <w:p w:rsidRPr="00457220" w:rsidR="00C86591" w:rsidP="00C86591" w:rsidRDefault="00C86591" w14:paraId="65659179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910D24" w14:paraId="048AAE45" w14:textId="77777777">
      <w:pPr>
        <w:jc w:val="center"/>
      </w:pPr>
      <w:r w:rsidRPr="00457220">
        <w:rPr>
          <w:rFonts w:ascii="Arial" w:hAnsi="Arial" w:cs="Arial"/>
          <w:sz w:val="24"/>
          <w:szCs w:val="24"/>
        </w:rPr>
        <w:fldChar w:fldCharType="begin"/>
      </w:r>
      <w:r w:rsidRPr="00457220">
        <w:rPr>
          <w:rFonts w:ascii="Arial" w:hAnsi="Arial" w:cs="Arial"/>
          <w:sz w:val="24"/>
          <w:szCs w:val="24"/>
        </w:rPr>
        <w:instrText xml:space="preserve"> DOCPROPERTY  "DN_D_ Afsender navn"  \* MERGEFORMAT </w:instrText>
      </w:r>
      <w:r w:rsidRPr="00457220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t>Lars Krogsgaard-Jensen | Grønlands Erhverv</w:t>
      </w:r>
      <w:r w:rsidRPr="00457220">
        <w:rPr>
          <w:rFonts w:ascii="Arial" w:hAnsi="Arial" w:cs="Arial"/>
          <w:sz w:val="24"/>
          <w:szCs w:val="24"/>
        </w:rPr>
        <w:fldChar w:fldCharType="end"/>
      </w:r>
    </w:p>
    <w:sectPr w:rsidR="00910D24" w:rsidSect="001C203A">
      <w:footerReference w:type="default" r:id="rId6"/>
      <w:headerReference w:type="first" r:id="rId7"/>
      <w:footerReference w:type="first" r:id="rId8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A0F72" w14:textId="77777777" w:rsidR="00C86591" w:rsidRDefault="00C86591" w:rsidP="00C86591">
      <w:r>
        <w:separator/>
      </w:r>
    </w:p>
  </w:endnote>
  <w:endnote w:type="continuationSeparator" w:id="0">
    <w:p w14:paraId="1D1493F7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12808BF6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68860CFE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114A0DE5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6103BB6B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9E311" w14:textId="77777777" w:rsidR="00C86591" w:rsidRDefault="00C86591" w:rsidP="00C86591">
      <w:r>
        <w:separator/>
      </w:r>
    </w:p>
  </w:footnote>
  <w:footnote w:type="continuationSeparator" w:id="0">
    <w:p w14:paraId="22CF9B2F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95BF0" w:rsidR="00C86591" w:rsidP="00395BF0" w:rsidRDefault="00395BF0" w14:paraId="0C7DBDA0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21B8B73C" wp14:anchorId="1C6D21DC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26F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2EE4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B8D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57220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0D07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5CAA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1D8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54B8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36A3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003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3FF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999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0B3F950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21</cp:revision>
  <cp:lastPrinted>2024-11-15T14:10:00Z</cp:lastPrinted>
  <dcterms:created xsi:type="dcterms:W3CDTF">2011-07-13T13:46:00Z</dcterms:created>
  <dcterms:modified xsi:type="dcterms:W3CDTF">2024-11-15T17:39:00Z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D24-12900</vt:lpwstr>
  </op:property>
  <op:property fmtid="{D5CDD505-2E9C-101B-9397-08002B2CF9AE}" pid="9" name="DN_D Modtager">
    <vt:lpwstr/>
  </op:property>
  <op:property fmtid="{D5CDD505-2E9C-101B-9397-08002B2CF9AE}" pid="10" name="DN_D Afsendelsesdato">
    <vt:lpwstr>15. november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møde med TUSASS´ direktør, Toke Binzer.</vt:lpwstr>
  </op:property>
  <op:property fmtid="{D5CDD505-2E9C-101B-9397-08002B2CF9AE}" pid="14" name="DN_D_email">
    <vt:lpwstr/>
  </op:property>
  <op:property fmtid="{D5CDD505-2E9C-101B-9397-08002B2CF9AE}" pid="15" name="sagsnummer">
    <vt:lpwstr>S24-125</vt:lpwstr>
  </op:property>
  <op:property fmtid="{D5CDD505-2E9C-101B-9397-08002B2CF9AE}" pid="16" name="Sagstitel">
    <vt:lpwstr>Møder 2024</vt:lpwstr>
  </op:property>
</op:Properties>
</file>