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911084" w14:paraId="4D88ABBC" w14:textId="77777777">
        <w:trPr>
          <w:trHeight w:val="1287"/>
          <w:jc w:val="center"/>
        </w:trPr>
        <w:tc>
          <w:tcPr>
            <w:tcW w:w="2667" w:type="dxa"/>
            <w:tcBorders>
              <w:top w:val="nil"/>
              <w:bottom w:val="nil"/>
              <w:right w:val="nil"/>
            </w:tcBorders>
            <w:hideMark/>
          </w:tcPr>
          <w:p w14:paraId="31C7BB01" w14:textId="77777777" w:rsidR="00911084" w:rsidRDefault="001C42BF">
            <w:pPr>
              <w:ind w:hanging="10"/>
            </w:pPr>
            <w:r>
              <w:rPr>
                <w:noProof/>
                <w:lang w:eastAsia="en-GB"/>
              </w:rPr>
              <mc:AlternateContent>
                <mc:Choice Requires="wps">
                  <w:drawing>
                    <wp:anchor distT="0" distB="0" distL="114300" distR="114300" simplePos="0" relativeHeight="251657728" behindDoc="0" locked="0" layoutInCell="1" allowOverlap="1" wp14:anchorId="77A31569" wp14:editId="467950FC">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12FCD"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pTtgEAAFIDAAAOAAAAZHJzL2Uyb0RvYy54bWysU01v2zAMvQ/YfxB0X5wESLc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"/>
                  </w:pict>
                </mc:Fallback>
              </mc:AlternateContent>
            </w:r>
          </w:p>
        </w:tc>
        <w:tc>
          <w:tcPr>
            <w:tcW w:w="4061" w:type="dxa"/>
            <w:tcBorders>
              <w:left w:val="nil"/>
              <w:right w:val="nil"/>
            </w:tcBorders>
            <w:hideMark/>
          </w:tcPr>
          <w:p w14:paraId="565DF558" w14:textId="77777777" w:rsidR="00911084" w:rsidRDefault="001C42BF">
            <w:r>
              <w:rPr>
                <w:noProof/>
                <w:lang w:eastAsia="en-GB"/>
              </w:rPr>
              <w:drawing>
                <wp:inline distT="0" distB="0" distL="0" distR="0" wp14:anchorId="3724A67E" wp14:editId="14140C8A">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6D9A24F5" w14:textId="77777777" w:rsidR="00911084" w:rsidRDefault="001C42BF">
            <w:pPr>
              <w:jc w:val="right"/>
            </w:pPr>
            <w:r>
              <w:rPr>
                <w:b/>
                <w:i/>
                <w:sz w:val="48"/>
                <w:szCs w:val="48"/>
              </w:rPr>
              <w:t>E</w:t>
            </w:r>
          </w:p>
        </w:tc>
      </w:tr>
    </w:tbl>
    <w:p w14:paraId="0F313852" w14:textId="77777777" w:rsidR="00911084" w:rsidRDefault="00911084">
      <w:bookmarkStart w:id="0" w:name="headings"/>
      <w:bookmarkEnd w:id="0"/>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911084" w14:paraId="4E4FEBB4" w14:textId="77777777">
        <w:trPr>
          <w:jc w:val="center"/>
        </w:trPr>
        <w:tc>
          <w:tcPr>
            <w:tcW w:w="4692" w:type="dxa"/>
          </w:tcPr>
          <w:p w14:paraId="6E4A6047" w14:textId="77777777" w:rsidR="00911084" w:rsidRDefault="00911084">
            <w:pPr>
              <w:spacing w:line="120" w:lineRule="exact"/>
            </w:pPr>
          </w:p>
          <w:p w14:paraId="365C705D" w14:textId="2E12B1B4" w:rsidR="00911084" w:rsidRDefault="004846F9">
            <w:bookmarkStart w:id="1" w:name="sub_committee"/>
            <w:bookmarkEnd w:id="1"/>
            <w:r>
              <w:t>MARINE ENVIRONMENT PROTECTION COMMITTEE</w:t>
            </w:r>
          </w:p>
          <w:p w14:paraId="134F8145" w14:textId="5312DF23" w:rsidR="00911084" w:rsidRDefault="004846F9">
            <w:bookmarkStart w:id="2" w:name="session"/>
            <w:bookmarkEnd w:id="2"/>
            <w:r>
              <w:t>84th</w:t>
            </w:r>
            <w:r w:rsidR="001C42BF">
              <w:t xml:space="preserve"> session </w:t>
            </w:r>
          </w:p>
          <w:p w14:paraId="6C1EF39A" w14:textId="2C8A67CC" w:rsidR="00911084" w:rsidRDefault="001C42BF">
            <w:pPr>
              <w:spacing w:after="58"/>
            </w:pPr>
            <w:r>
              <w:t xml:space="preserve">Agenda item </w:t>
            </w:r>
            <w:bookmarkStart w:id="3" w:name="agenda"/>
            <w:bookmarkEnd w:id="3"/>
            <w:r w:rsidR="004846F9">
              <w:t>4</w:t>
            </w:r>
          </w:p>
        </w:tc>
        <w:tc>
          <w:tcPr>
            <w:tcW w:w="4465" w:type="dxa"/>
          </w:tcPr>
          <w:p w14:paraId="7A745C58" w14:textId="77777777" w:rsidR="00911084" w:rsidRPr="00DE73AA" w:rsidRDefault="00911084">
            <w:pPr>
              <w:spacing w:line="120" w:lineRule="exact"/>
              <w:jc w:val="right"/>
              <w:rPr>
                <w:lang w:val="fr-FR"/>
              </w:rPr>
            </w:pPr>
          </w:p>
          <w:p w14:paraId="5D07907B" w14:textId="33A781A4" w:rsidR="00911084" w:rsidRPr="00DE73AA" w:rsidRDefault="004846F9">
            <w:pPr>
              <w:jc w:val="right"/>
              <w:rPr>
                <w:lang w:val="fr-FR"/>
              </w:rPr>
            </w:pPr>
            <w:bookmarkStart w:id="4" w:name="symbol"/>
            <w:bookmarkEnd w:id="4"/>
            <w:r>
              <w:rPr>
                <w:lang w:val="fr-FR"/>
              </w:rPr>
              <w:t>MEPC 84/4/X</w:t>
            </w:r>
          </w:p>
          <w:p w14:paraId="063EA9E9" w14:textId="6445D1A0" w:rsidR="00911084" w:rsidRPr="00DE73AA" w:rsidRDefault="00AB33E3" w:rsidP="00CC53DC">
            <w:pPr>
              <w:jc w:val="right"/>
              <w:rPr>
                <w:lang w:val="fr-FR"/>
              </w:rPr>
            </w:pPr>
            <w:bookmarkStart w:id="5" w:name="date"/>
            <w:bookmarkEnd w:id="5"/>
            <w:r>
              <w:rPr>
                <w:lang w:val="fr-FR"/>
              </w:rPr>
              <w:t>9 January 2026</w:t>
            </w:r>
          </w:p>
          <w:p w14:paraId="2D090059" w14:textId="3C25458C" w:rsidR="00911084" w:rsidRDefault="001C42BF">
            <w:pPr>
              <w:spacing w:after="58"/>
              <w:ind w:left="-924"/>
              <w:jc w:val="right"/>
            </w:pPr>
            <w:bookmarkStart w:id="6" w:name="language"/>
            <w:bookmarkEnd w:id="6"/>
            <w:r>
              <w:t>Original: ENGLISH</w:t>
            </w:r>
          </w:p>
          <w:p w14:paraId="4D5F32B8" w14:textId="14F3218B" w:rsidR="00DD2A0C" w:rsidRDefault="00DD2A0C">
            <w:pPr>
              <w:spacing w:after="58"/>
              <w:ind w:left="-924"/>
              <w:jc w:val="right"/>
            </w:pPr>
            <w:r>
              <w:t xml:space="preserve">Pre-session public release: </w:t>
            </w:r>
            <w:sdt>
              <w:sdtPr>
                <w:rPr>
                  <w:noProof/>
                  <w:lang w:eastAsia="en-GB"/>
                </w:rPr>
                <w:id w:val="497314832"/>
                <w14:checkbox>
                  <w14:checked w14:val="1"/>
                  <w14:checkedState w14:val="2612" w14:font="MS Gothic"/>
                  <w14:uncheckedState w14:val="2610" w14:font="MS Gothic"/>
                </w14:checkbox>
              </w:sdtPr>
              <w:sdtEndPr/>
              <w:sdtContent>
                <w:r w:rsidR="008863F1">
                  <w:rPr>
                    <w:rFonts w:ascii="MS Gothic" w:eastAsia="MS Gothic" w:hAnsi="MS Gothic" w:hint="eastAsia"/>
                    <w:noProof/>
                    <w:lang w:eastAsia="en-GB"/>
                  </w:rPr>
                  <w:t>☒</w:t>
                </w:r>
              </w:sdtContent>
            </w:sdt>
          </w:p>
          <w:p w14:paraId="58299542" w14:textId="77777777" w:rsidR="00DD2A0C" w:rsidRDefault="00DD2A0C">
            <w:pPr>
              <w:spacing w:after="58"/>
              <w:ind w:left="-924"/>
              <w:jc w:val="right"/>
            </w:pPr>
          </w:p>
        </w:tc>
      </w:tr>
    </w:tbl>
    <w:p w14:paraId="6B12335A" w14:textId="77777777" w:rsidR="00911084" w:rsidRDefault="00911084" w:rsidP="00DD2A0C"/>
    <w:p w14:paraId="3448F12B" w14:textId="2FBE8F4A" w:rsidR="00911084" w:rsidRDefault="004846F9">
      <w:pPr>
        <w:jc w:val="center"/>
        <w:rPr>
          <w:rFonts w:ascii="Arial Bold" w:hAnsi="Arial Bold"/>
          <w:b/>
          <w:caps/>
        </w:rPr>
      </w:pPr>
      <w:r>
        <w:rPr>
          <w:rFonts w:ascii="Arial Bold" w:hAnsi="Arial Bold"/>
          <w:b/>
          <w:caps/>
        </w:rPr>
        <w:t>HARMFUL AQUATIC ORGANISMS IN BALLAST WATER</w:t>
      </w:r>
    </w:p>
    <w:p w14:paraId="6D58C0A1" w14:textId="77777777" w:rsidR="00911084" w:rsidRDefault="00911084">
      <w:pPr>
        <w:jc w:val="center"/>
        <w:rPr>
          <w:b/>
        </w:rPr>
      </w:pPr>
    </w:p>
    <w:p w14:paraId="00E2E1AB" w14:textId="62BDEE62" w:rsidR="00F41638" w:rsidRDefault="00DE1509">
      <w:pPr>
        <w:jc w:val="center"/>
        <w:rPr>
          <w:b/>
        </w:rPr>
      </w:pPr>
      <w:r>
        <w:rPr>
          <w:b/>
        </w:rPr>
        <w:t xml:space="preserve">Proposal for </w:t>
      </w:r>
      <w:r w:rsidR="00B86F10">
        <w:rPr>
          <w:b/>
        </w:rPr>
        <w:t xml:space="preserve">an update to the Procedure (G9) </w:t>
      </w:r>
      <w:r w:rsidR="001F7BD1">
        <w:rPr>
          <w:b/>
        </w:rPr>
        <w:t>and the continued collection of information related to the release of disinfection by-products by BWMS</w:t>
      </w:r>
    </w:p>
    <w:p w14:paraId="1AF8164B" w14:textId="77777777" w:rsidR="00F41638" w:rsidRDefault="00F41638">
      <w:pPr>
        <w:jc w:val="center"/>
        <w:rPr>
          <w:b/>
        </w:rPr>
      </w:pPr>
    </w:p>
    <w:p w14:paraId="3A7C056D" w14:textId="236E2341" w:rsidR="00911084" w:rsidRDefault="001C42BF">
      <w:pPr>
        <w:jc w:val="center"/>
        <w:rPr>
          <w:b/>
        </w:rPr>
      </w:pPr>
      <w:r>
        <w:rPr>
          <w:b/>
        </w:rPr>
        <w:t>[</w:t>
      </w:r>
      <w:r w:rsidR="007D5534">
        <w:rPr>
          <w:b/>
        </w:rPr>
        <w:t xml:space="preserve">Australia, </w:t>
      </w:r>
      <w:r w:rsidR="00DB7EE0">
        <w:rPr>
          <w:b/>
        </w:rPr>
        <w:t>TBC</w:t>
      </w:r>
      <w:r>
        <w:rPr>
          <w:b/>
        </w:rPr>
        <w:t>]</w:t>
      </w:r>
    </w:p>
    <w:p w14:paraId="42E90532" w14:textId="77777777" w:rsidR="00911084" w:rsidRDefault="00911084"/>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911084" w14:paraId="11F2D79D" w14:textId="77777777">
        <w:trPr>
          <w:jc w:val="center"/>
        </w:trPr>
        <w:tc>
          <w:tcPr>
            <w:tcW w:w="9000" w:type="dxa"/>
            <w:gridSpan w:val="2"/>
            <w:tcMar>
              <w:top w:w="85" w:type="dxa"/>
              <w:left w:w="85" w:type="dxa"/>
              <w:bottom w:w="85" w:type="dxa"/>
              <w:right w:w="85" w:type="dxa"/>
            </w:tcMar>
          </w:tcPr>
          <w:p w14:paraId="00792230" w14:textId="77777777" w:rsidR="00911084" w:rsidRDefault="00911084">
            <w:pPr>
              <w:spacing w:line="120" w:lineRule="exact"/>
              <w:rPr>
                <w:bCs/>
              </w:rPr>
            </w:pPr>
          </w:p>
          <w:p w14:paraId="422148CE" w14:textId="77777777" w:rsidR="00911084" w:rsidRDefault="001C42BF">
            <w:pPr>
              <w:spacing w:after="58"/>
              <w:jc w:val="center"/>
              <w:rPr>
                <w:b/>
              </w:rPr>
            </w:pPr>
            <w:r>
              <w:rPr>
                <w:b/>
              </w:rPr>
              <w:t>SUMMARY</w:t>
            </w:r>
          </w:p>
        </w:tc>
      </w:tr>
      <w:tr w:rsidR="00911084" w14:paraId="130D27B8" w14:textId="77777777">
        <w:trPr>
          <w:jc w:val="center"/>
        </w:trPr>
        <w:tc>
          <w:tcPr>
            <w:tcW w:w="2245" w:type="dxa"/>
            <w:tcMar>
              <w:top w:w="85" w:type="dxa"/>
              <w:left w:w="85" w:type="dxa"/>
              <w:bottom w:w="85" w:type="dxa"/>
              <w:right w:w="85" w:type="dxa"/>
            </w:tcMar>
          </w:tcPr>
          <w:p w14:paraId="2C4659A2" w14:textId="77777777" w:rsidR="00911084" w:rsidRDefault="001C42BF">
            <w:pPr>
              <w:spacing w:after="58"/>
              <w:rPr>
                <w:bCs/>
              </w:rPr>
            </w:pPr>
            <w:r>
              <w:rPr>
                <w:bCs/>
                <w:i/>
              </w:rPr>
              <w:t>Executive summary:</w:t>
            </w:r>
          </w:p>
        </w:tc>
        <w:tc>
          <w:tcPr>
            <w:tcW w:w="6755" w:type="dxa"/>
            <w:tcMar>
              <w:top w:w="85" w:type="dxa"/>
              <w:left w:w="85" w:type="dxa"/>
              <w:bottom w:w="85" w:type="dxa"/>
              <w:right w:w="85" w:type="dxa"/>
            </w:tcMar>
          </w:tcPr>
          <w:p w14:paraId="21E96D27" w14:textId="77777777" w:rsidR="00911084" w:rsidRDefault="00911084">
            <w:pPr>
              <w:spacing w:after="58"/>
              <w:rPr>
                <w:bCs/>
              </w:rPr>
            </w:pPr>
            <w:bookmarkStart w:id="7" w:name="Execsum"/>
            <w:bookmarkEnd w:id="7"/>
          </w:p>
        </w:tc>
      </w:tr>
      <w:tr w:rsidR="00911084" w14:paraId="7147B349" w14:textId="77777777">
        <w:trPr>
          <w:jc w:val="center"/>
        </w:trPr>
        <w:tc>
          <w:tcPr>
            <w:tcW w:w="2245" w:type="dxa"/>
            <w:tcMar>
              <w:top w:w="85" w:type="dxa"/>
              <w:left w:w="85" w:type="dxa"/>
              <w:bottom w:w="85" w:type="dxa"/>
              <w:right w:w="85" w:type="dxa"/>
            </w:tcMar>
          </w:tcPr>
          <w:p w14:paraId="7AB97A4F" w14:textId="77777777" w:rsidR="00911084" w:rsidRDefault="001C42BF">
            <w:pPr>
              <w:spacing w:after="58"/>
              <w:rPr>
                <w:bCs/>
              </w:rPr>
            </w:pPr>
            <w:r>
              <w:rPr>
                <w:bCs/>
                <w:i/>
              </w:rPr>
              <w:t xml:space="preserve">Strategic </w:t>
            </w:r>
            <w:r w:rsidR="00F41638">
              <w:rPr>
                <w:bCs/>
                <w:i/>
              </w:rPr>
              <w:t>d</w:t>
            </w:r>
            <w:r>
              <w:rPr>
                <w:bCs/>
                <w:i/>
              </w:rPr>
              <w:t>irection, if applicable:</w:t>
            </w:r>
          </w:p>
        </w:tc>
        <w:tc>
          <w:tcPr>
            <w:tcW w:w="6755" w:type="dxa"/>
            <w:tcMar>
              <w:top w:w="85" w:type="dxa"/>
              <w:left w:w="85" w:type="dxa"/>
              <w:bottom w:w="85" w:type="dxa"/>
              <w:right w:w="85" w:type="dxa"/>
            </w:tcMar>
          </w:tcPr>
          <w:p w14:paraId="389618F1" w14:textId="77777777" w:rsidR="00911084" w:rsidRDefault="00911084">
            <w:pPr>
              <w:spacing w:after="58"/>
              <w:rPr>
                <w:bCs/>
              </w:rPr>
            </w:pPr>
            <w:bookmarkStart w:id="8" w:name="StraDir"/>
            <w:bookmarkEnd w:id="8"/>
          </w:p>
        </w:tc>
      </w:tr>
      <w:tr w:rsidR="00911084" w14:paraId="788BD2D6" w14:textId="77777777">
        <w:trPr>
          <w:jc w:val="center"/>
        </w:trPr>
        <w:tc>
          <w:tcPr>
            <w:tcW w:w="2245" w:type="dxa"/>
            <w:tcMar>
              <w:top w:w="85" w:type="dxa"/>
              <w:left w:w="85" w:type="dxa"/>
              <w:bottom w:w="85" w:type="dxa"/>
              <w:right w:w="85" w:type="dxa"/>
            </w:tcMar>
          </w:tcPr>
          <w:p w14:paraId="66B5DA46" w14:textId="77777777" w:rsidR="00911084" w:rsidRDefault="001C42BF">
            <w:pPr>
              <w:spacing w:after="58"/>
              <w:rPr>
                <w:bCs/>
              </w:rPr>
            </w:pPr>
            <w:r>
              <w:rPr>
                <w:bCs/>
                <w:i/>
              </w:rPr>
              <w:t>Output:</w:t>
            </w:r>
          </w:p>
        </w:tc>
        <w:tc>
          <w:tcPr>
            <w:tcW w:w="6755" w:type="dxa"/>
            <w:tcMar>
              <w:top w:w="85" w:type="dxa"/>
              <w:left w:w="85" w:type="dxa"/>
              <w:bottom w:w="85" w:type="dxa"/>
              <w:right w:w="85" w:type="dxa"/>
            </w:tcMar>
          </w:tcPr>
          <w:p w14:paraId="698398DA" w14:textId="77777777" w:rsidR="00911084" w:rsidRDefault="00911084">
            <w:pPr>
              <w:spacing w:after="58"/>
              <w:rPr>
                <w:bCs/>
              </w:rPr>
            </w:pPr>
            <w:bookmarkStart w:id="9" w:name="PlanOut"/>
            <w:bookmarkEnd w:id="9"/>
          </w:p>
        </w:tc>
      </w:tr>
      <w:tr w:rsidR="00911084" w14:paraId="56C3FFA7" w14:textId="77777777">
        <w:trPr>
          <w:jc w:val="center"/>
        </w:trPr>
        <w:tc>
          <w:tcPr>
            <w:tcW w:w="2245" w:type="dxa"/>
            <w:tcMar>
              <w:top w:w="85" w:type="dxa"/>
              <w:left w:w="85" w:type="dxa"/>
              <w:bottom w:w="85" w:type="dxa"/>
              <w:right w:w="85" w:type="dxa"/>
            </w:tcMar>
          </w:tcPr>
          <w:p w14:paraId="27244E4F" w14:textId="77777777" w:rsidR="00911084" w:rsidRDefault="001C42BF">
            <w:pPr>
              <w:spacing w:after="58"/>
              <w:rPr>
                <w:bCs/>
              </w:rPr>
            </w:pPr>
            <w:r>
              <w:rPr>
                <w:bCs/>
                <w:i/>
              </w:rPr>
              <w:t>Action to be taken:</w:t>
            </w:r>
          </w:p>
        </w:tc>
        <w:tc>
          <w:tcPr>
            <w:tcW w:w="6755" w:type="dxa"/>
            <w:tcMar>
              <w:top w:w="85" w:type="dxa"/>
              <w:left w:w="85" w:type="dxa"/>
              <w:bottom w:w="85" w:type="dxa"/>
              <w:right w:w="85" w:type="dxa"/>
            </w:tcMar>
          </w:tcPr>
          <w:p w14:paraId="36DCFC33" w14:textId="52CB8945" w:rsidR="00911084" w:rsidRDefault="00F45C8D">
            <w:pPr>
              <w:spacing w:after="58"/>
              <w:rPr>
                <w:bCs/>
              </w:rPr>
            </w:pPr>
            <w:bookmarkStart w:id="10" w:name="Action"/>
            <w:bookmarkEnd w:id="10"/>
            <w:r w:rsidRPr="0009508D">
              <w:rPr>
                <w:bCs/>
                <w:highlight w:val="yellow"/>
              </w:rPr>
              <w:t>2</w:t>
            </w:r>
            <w:r w:rsidR="0009508D" w:rsidRPr="0009508D">
              <w:rPr>
                <w:bCs/>
                <w:highlight w:val="yellow"/>
              </w:rPr>
              <w:t>9</w:t>
            </w:r>
          </w:p>
        </w:tc>
      </w:tr>
      <w:tr w:rsidR="00911084" w14:paraId="4BF41271" w14:textId="77777777">
        <w:trPr>
          <w:jc w:val="center"/>
        </w:trPr>
        <w:tc>
          <w:tcPr>
            <w:tcW w:w="2245" w:type="dxa"/>
            <w:tcMar>
              <w:top w:w="85" w:type="dxa"/>
              <w:left w:w="85" w:type="dxa"/>
              <w:bottom w:w="85" w:type="dxa"/>
              <w:right w:w="85" w:type="dxa"/>
            </w:tcMar>
          </w:tcPr>
          <w:p w14:paraId="38337C51" w14:textId="77777777" w:rsidR="00911084" w:rsidRDefault="001C42BF">
            <w:pPr>
              <w:spacing w:after="58"/>
              <w:rPr>
                <w:bCs/>
              </w:rPr>
            </w:pPr>
            <w:r>
              <w:rPr>
                <w:bCs/>
                <w:i/>
              </w:rPr>
              <w:t>Related documents:</w:t>
            </w:r>
          </w:p>
        </w:tc>
        <w:tc>
          <w:tcPr>
            <w:tcW w:w="6755" w:type="dxa"/>
            <w:tcMar>
              <w:top w:w="85" w:type="dxa"/>
              <w:left w:w="85" w:type="dxa"/>
              <w:bottom w:w="85" w:type="dxa"/>
              <w:right w:w="85" w:type="dxa"/>
            </w:tcMar>
          </w:tcPr>
          <w:p w14:paraId="2A34F051" w14:textId="7E599304" w:rsidR="00911084" w:rsidRDefault="0041670E">
            <w:pPr>
              <w:spacing w:after="58"/>
              <w:rPr>
                <w:bCs/>
              </w:rPr>
            </w:pPr>
            <w:bookmarkStart w:id="11" w:name="Reldoc"/>
            <w:bookmarkEnd w:id="11"/>
            <w:r>
              <w:t>MEPC 84.INF.X (Australia); MEPC 84/INF.X (GTN): MEPC</w:t>
            </w:r>
            <w:r w:rsidR="00C6174E">
              <w:t xml:space="preserve"> </w:t>
            </w:r>
            <w:r>
              <w:t xml:space="preserve">83/WP.12; MEPC 83/INF.28; MEPC 83/INF.22; MEPC 83/4/9; MEPC 82/INF.40; MEPC 82/4/4; MEPC 81/INF.6 </w:t>
            </w:r>
          </w:p>
        </w:tc>
      </w:tr>
    </w:tbl>
    <w:p w14:paraId="6D7449AC" w14:textId="77777777" w:rsidR="00911084" w:rsidRDefault="00911084"/>
    <w:p w14:paraId="7BC661FE" w14:textId="77777777" w:rsidR="008B3776" w:rsidRDefault="008B3776"/>
    <w:p w14:paraId="5396E36E" w14:textId="5E4C50B2" w:rsidR="007021A5" w:rsidRPr="004846F9" w:rsidRDefault="009121D1">
      <w:pPr>
        <w:rPr>
          <w:b/>
          <w:bCs/>
        </w:rPr>
      </w:pPr>
      <w:r>
        <w:rPr>
          <w:b/>
          <w:bCs/>
        </w:rPr>
        <w:t>Background</w:t>
      </w:r>
    </w:p>
    <w:p w14:paraId="3F494733" w14:textId="77777777" w:rsidR="004846F9" w:rsidRDefault="004846F9"/>
    <w:p w14:paraId="2F7EAF4F" w14:textId="77777777" w:rsidR="00CE7611" w:rsidRDefault="00CE7611" w:rsidP="00CE7611">
      <w:pPr>
        <w:pStyle w:val="ListParagraph"/>
        <w:ind w:left="851" w:firstLine="0"/>
      </w:pPr>
    </w:p>
    <w:p w14:paraId="654AD8D9" w14:textId="7AD64A5D" w:rsidR="00BF66C7" w:rsidRDefault="00BF66C7" w:rsidP="004846F9">
      <w:pPr>
        <w:pStyle w:val="ListParagraph"/>
        <w:numPr>
          <w:ilvl w:val="0"/>
          <w:numId w:val="9"/>
        </w:numPr>
        <w:ind w:left="851" w:hanging="851"/>
      </w:pPr>
      <w:r w:rsidRPr="00625B7C">
        <w:t>Regulation D-3.2 of the Annex to the Ballast Water Management Convention (BWM Convention) provides that ballast water management systems (BWMS) that make use of Active Substances or Preparations containing one or more Active Substances used to comply with the BWM Convention shall be approved by the Organization</w:t>
      </w:r>
      <w:r w:rsidR="00F61DF3">
        <w:t>, based upon a procedure developed by the Organization</w:t>
      </w:r>
      <w:r w:rsidR="00CE7611">
        <w:t>.</w:t>
      </w:r>
    </w:p>
    <w:p w14:paraId="036DF865" w14:textId="77777777" w:rsidR="00BF66C7" w:rsidRDefault="00BF66C7" w:rsidP="00BF66C7">
      <w:pPr>
        <w:pStyle w:val="ListParagraph"/>
      </w:pPr>
    </w:p>
    <w:p w14:paraId="4AF9B5E5" w14:textId="5206D542" w:rsidR="00BF66C7" w:rsidRDefault="00B86F10" w:rsidP="004846F9">
      <w:pPr>
        <w:pStyle w:val="ListParagraph"/>
        <w:numPr>
          <w:ilvl w:val="0"/>
          <w:numId w:val="9"/>
        </w:numPr>
        <w:ind w:left="851" w:hanging="851"/>
      </w:pPr>
      <w:r>
        <w:t>Procedure</w:t>
      </w:r>
      <w:r w:rsidR="00CE7611">
        <w:t xml:space="preserve"> (G9) </w:t>
      </w:r>
      <w:r w:rsidR="00CE7611" w:rsidRPr="00D40CAE">
        <w:rPr>
          <w:i/>
          <w:iCs/>
        </w:rPr>
        <w:t>Procedure for approval of ballast water management systems that make use of Active Substances</w:t>
      </w:r>
      <w:r w:rsidR="00CE7611">
        <w:t xml:space="preserve"> </w:t>
      </w:r>
      <w:r w:rsidR="00BF66C7">
        <w:t xml:space="preserve">determines the acceptability of </w:t>
      </w:r>
      <w:r w:rsidR="00F61DF3">
        <w:t>Active Substances and Preparations containing one or more</w:t>
      </w:r>
      <w:r w:rsidR="00336332">
        <w:t xml:space="preserve"> </w:t>
      </w:r>
      <w:r w:rsidR="00F61DF3">
        <w:t xml:space="preserve">Active Substances and their application in  </w:t>
      </w:r>
      <w:r w:rsidR="00BF66C7">
        <w:t xml:space="preserve">BWMS </w:t>
      </w:r>
      <w:r w:rsidR="00F61DF3">
        <w:t xml:space="preserve">and the proposed manner of application of those Active Substances and Preparations </w:t>
      </w:r>
      <w:r w:rsidR="00BF66C7">
        <w:t xml:space="preserve">through </w:t>
      </w:r>
      <w:r w:rsidR="00CE7611">
        <w:t xml:space="preserve">additional levels of approval prior to receiving Type Approval under </w:t>
      </w:r>
      <w:r w:rsidR="00BF66C7">
        <w:t xml:space="preserve">the </w:t>
      </w:r>
      <w:r w:rsidR="00336332">
        <w:t>Code for Approval of Ballast Water Management Systems (</w:t>
      </w:r>
      <w:r w:rsidR="00BF66C7">
        <w:t>BWMS Code</w:t>
      </w:r>
      <w:r w:rsidR="00336332">
        <w:t>)</w:t>
      </w:r>
      <w:r w:rsidR="00BF66C7">
        <w:t xml:space="preserve">. </w:t>
      </w:r>
    </w:p>
    <w:p w14:paraId="4122CAFB" w14:textId="77777777" w:rsidR="00BF66C7" w:rsidRDefault="00BF66C7" w:rsidP="00BF66C7">
      <w:pPr>
        <w:pStyle w:val="ListParagraph"/>
        <w:ind w:left="851" w:firstLine="0"/>
      </w:pPr>
    </w:p>
    <w:p w14:paraId="51DC863F" w14:textId="735EDB1C" w:rsidR="00D76D27" w:rsidRDefault="00D76D27" w:rsidP="004846F9">
      <w:pPr>
        <w:pStyle w:val="ListParagraph"/>
        <w:numPr>
          <w:ilvl w:val="0"/>
          <w:numId w:val="9"/>
        </w:numPr>
        <w:ind w:left="851" w:hanging="851"/>
      </w:pPr>
      <w:r>
        <w:t xml:space="preserve">The </w:t>
      </w:r>
      <w:r w:rsidR="00CE7611">
        <w:t>Joint Group of Experts on the Scientific Aspects of Marine Environmental Protection – Ballast Water Working Group</w:t>
      </w:r>
      <w:r w:rsidR="00336332">
        <w:t xml:space="preserve"> on Active Substances</w:t>
      </w:r>
      <w:r w:rsidR="00CE7611">
        <w:t xml:space="preserve"> (GESAMP</w:t>
      </w:r>
      <w:r>
        <w:t>-BWWG</w:t>
      </w:r>
      <w:r w:rsidR="00CE7611">
        <w:t>)</w:t>
      </w:r>
      <w:r>
        <w:t xml:space="preserve"> is charged with the evaluation of such systems</w:t>
      </w:r>
      <w:r w:rsidR="00CB78D3">
        <w:t xml:space="preserve"> and the provision of advice to the </w:t>
      </w:r>
      <w:r w:rsidR="00CB78D3">
        <w:lastRenderedPageBreak/>
        <w:t>Committee via the Basic and Final Approvals</w:t>
      </w:r>
      <w:r>
        <w:t>. The proprietary information and detailed test results provided by the manufacturer are available only to GESAMP-BWWG, while key information is reported in the GESAMP-BWWG recommendations to the Committee.</w:t>
      </w:r>
    </w:p>
    <w:p w14:paraId="3680CDDD" w14:textId="77777777" w:rsidR="000E3188" w:rsidRDefault="000E3188" w:rsidP="000E3188"/>
    <w:p w14:paraId="6FD5C8AC" w14:textId="3E6849ED" w:rsidR="00736DC8" w:rsidRDefault="00CC08EB" w:rsidP="00736DC8">
      <w:pPr>
        <w:pStyle w:val="ListParagraph"/>
        <w:numPr>
          <w:ilvl w:val="0"/>
          <w:numId w:val="9"/>
        </w:numPr>
        <w:ind w:left="851" w:hanging="851"/>
      </w:pPr>
      <w:r>
        <w:t xml:space="preserve">At present, the only regulated chemical-based component of a BWMS is the </w:t>
      </w:r>
      <w:r w:rsidR="001F7BD1">
        <w:t xml:space="preserve">Active Substance or Preparation </w:t>
      </w:r>
      <w:r>
        <w:t xml:space="preserve">Total </w:t>
      </w:r>
      <w:r w:rsidR="00D40CAE">
        <w:t>R</w:t>
      </w:r>
      <w:r>
        <w:t>esidual Oxidant (TRO)</w:t>
      </w:r>
      <w:r w:rsidR="00B86F10">
        <w:t xml:space="preserve"> with a Maximum Allowable Discharge Concentration (MADC) of</w:t>
      </w:r>
      <w:r>
        <w:t xml:space="preserve"> </w:t>
      </w:r>
      <w:r w:rsidR="00B03B6D">
        <w:t>0.1</w:t>
      </w:r>
      <w:r>
        <w:t xml:space="preserve"> </w:t>
      </w:r>
      <w:r w:rsidR="00B03B6D">
        <w:t>m</w:t>
      </w:r>
      <w:r>
        <w:t>g/L</w:t>
      </w:r>
      <w:r w:rsidR="00B86F10">
        <w:t xml:space="preserve"> expressed as Cl</w:t>
      </w:r>
      <w:r w:rsidR="00B86F10" w:rsidRPr="00711910">
        <w:rPr>
          <w:vertAlign w:val="subscript"/>
        </w:rPr>
        <w:t>2</w:t>
      </w:r>
      <w:r>
        <w:t xml:space="preserve"> </w:t>
      </w:r>
      <w:r w:rsidR="00200C07">
        <w:t>for ballast water at discharge</w:t>
      </w:r>
      <w:r>
        <w:t xml:space="preserve">. </w:t>
      </w:r>
      <w:r w:rsidR="00D76D27">
        <w:t xml:space="preserve">Objective 12 of the </w:t>
      </w:r>
      <w:r>
        <w:t>Review of the BWM Convention</w:t>
      </w:r>
      <w:r w:rsidR="00200C07">
        <w:t xml:space="preserve"> (concluded – see MEPC 83/WP.12)</w:t>
      </w:r>
      <w:r>
        <w:t xml:space="preserve"> </w:t>
      </w:r>
      <w:r w:rsidR="00BF66C7">
        <w:t xml:space="preserve">will </w:t>
      </w:r>
      <w:r w:rsidR="00545C41">
        <w:t xml:space="preserve">introduce a </w:t>
      </w:r>
      <w:r>
        <w:t>require</w:t>
      </w:r>
      <w:r w:rsidR="00545C41">
        <w:t>ment</w:t>
      </w:r>
      <w:r>
        <w:t xml:space="preserve"> that the</w:t>
      </w:r>
      <w:r w:rsidR="00B86F10">
        <w:t xml:space="preserve"> MADC for TRO</w:t>
      </w:r>
      <w:r>
        <w:t xml:space="preserve"> </w:t>
      </w:r>
      <w:r w:rsidR="00545C41">
        <w:t xml:space="preserve">will </w:t>
      </w:r>
      <w:r>
        <w:t xml:space="preserve">be a </w:t>
      </w:r>
      <w:r w:rsidR="00545C41">
        <w:t>component of</w:t>
      </w:r>
      <w:r>
        <w:t xml:space="preserve"> compliance in regulation D-2.</w:t>
      </w:r>
    </w:p>
    <w:p w14:paraId="26F0CE8B" w14:textId="77777777" w:rsidR="00DE1509" w:rsidRDefault="00DE1509" w:rsidP="00DE1509"/>
    <w:p w14:paraId="110C136B" w14:textId="5894B177" w:rsidR="003E193A" w:rsidRDefault="003E193A" w:rsidP="004846F9">
      <w:pPr>
        <w:pStyle w:val="ListParagraph"/>
        <w:numPr>
          <w:ilvl w:val="0"/>
          <w:numId w:val="9"/>
        </w:numPr>
        <w:ind w:left="851" w:hanging="851"/>
      </w:pPr>
      <w:r>
        <w:t>The Procedure</w:t>
      </w:r>
      <w:r w:rsidR="007A2820">
        <w:t xml:space="preserve"> (G9)</w:t>
      </w:r>
      <w:r>
        <w:t xml:space="preserve"> defines Relevant Chemicals as transformation or reaction products that are produced during and after emplo</w:t>
      </w:r>
      <w:r w:rsidR="00DA4822">
        <w:t>y</w:t>
      </w:r>
      <w:r>
        <w:t xml:space="preserve">ment of the BWMS in the ballast water or in the receiving environment and that may be of concern to ship’s safety, aquatic environment and/or human health. These Relevant Chemicals </w:t>
      </w:r>
      <w:r w:rsidR="001E2243">
        <w:t>include</w:t>
      </w:r>
      <w:r>
        <w:t xml:space="preserve"> Disinfection By-Products (DBPs).</w:t>
      </w:r>
    </w:p>
    <w:p w14:paraId="1751AAFE" w14:textId="77777777" w:rsidR="003E193A" w:rsidRDefault="003E193A" w:rsidP="00063EC7">
      <w:pPr>
        <w:pStyle w:val="ListParagraph"/>
      </w:pPr>
    </w:p>
    <w:p w14:paraId="3F6B0A5D" w14:textId="5B6902D0" w:rsidR="004846F9" w:rsidRDefault="009121D1" w:rsidP="004846F9">
      <w:pPr>
        <w:pStyle w:val="ListParagraph"/>
        <w:numPr>
          <w:ilvl w:val="0"/>
          <w:numId w:val="9"/>
        </w:numPr>
        <w:ind w:left="851" w:hanging="851"/>
      </w:pPr>
      <w:r>
        <w:t xml:space="preserve">Documents submitted to recent MEPC meetings have highlighted port State concerns with levels of </w:t>
      </w:r>
      <w:r w:rsidR="00BF66C7">
        <w:t xml:space="preserve">Relevant Chemicals, </w:t>
      </w:r>
      <w:proofErr w:type="gramStart"/>
      <w:r w:rsidR="00BF66C7">
        <w:t>in particular</w:t>
      </w:r>
      <w:proofErr w:type="gramEnd"/>
      <w:r w:rsidR="00BF66C7">
        <w:t xml:space="preserve"> </w:t>
      </w:r>
      <w:r>
        <w:t>DBPs</w:t>
      </w:r>
      <w:r w:rsidR="00BF66C7">
        <w:t>,</w:t>
      </w:r>
      <w:r>
        <w:t xml:space="preserve"> measured in treated ballast water discharges (MEPC 81/INF.6, MEPC 82/IN</w:t>
      </w:r>
      <w:r w:rsidR="0041670E">
        <w:t>F</w:t>
      </w:r>
      <w:r>
        <w:t xml:space="preserve">.40, MEPC 83/INF.22; all submitted by Australia). </w:t>
      </w:r>
      <w:r w:rsidR="00545C41">
        <w:t>M</w:t>
      </w:r>
      <w:r>
        <w:t>easured values were compared against the values provided in the relevant Type Approval document</w:t>
      </w:r>
      <w:r w:rsidR="001E2243">
        <w:t>s</w:t>
      </w:r>
      <w:r>
        <w:t xml:space="preserve"> and were often found to be greater</w:t>
      </w:r>
      <w:r w:rsidR="00137425">
        <w:t xml:space="preserve"> by orders of magnitude</w:t>
      </w:r>
      <w:r>
        <w:t>.</w:t>
      </w:r>
      <w:r w:rsidR="00137425">
        <w:t xml:space="preserve"> The </w:t>
      </w:r>
      <w:r w:rsidR="001E2243">
        <w:t xml:space="preserve">Australian </w:t>
      </w:r>
      <w:r w:rsidR="00137425">
        <w:t>documents</w:t>
      </w:r>
      <w:r w:rsidR="00D76D27">
        <w:t xml:space="preserve"> </w:t>
      </w:r>
      <w:r w:rsidR="00137425">
        <w:t>noted that no Maximum Allowable Discharge Concentration (MADC) exists for DBPs</w:t>
      </w:r>
      <w:r w:rsidR="00D76D27">
        <w:t>, either individually or by grouping</w:t>
      </w:r>
      <w:r w:rsidR="00207D67">
        <w:t>.</w:t>
      </w:r>
    </w:p>
    <w:p w14:paraId="7E9D3F19" w14:textId="77777777" w:rsidR="00DE1509" w:rsidRDefault="00DE1509" w:rsidP="00DE1509">
      <w:pPr>
        <w:ind w:left="0" w:firstLine="0"/>
      </w:pPr>
    </w:p>
    <w:p w14:paraId="1BDC4405" w14:textId="2E8D7A79" w:rsidR="009121D1" w:rsidRDefault="009121D1" w:rsidP="004846F9">
      <w:pPr>
        <w:pStyle w:val="ListParagraph"/>
        <w:numPr>
          <w:ilvl w:val="0"/>
          <w:numId w:val="9"/>
        </w:numPr>
        <w:ind w:left="851" w:hanging="851"/>
      </w:pPr>
      <w:r>
        <w:t>MEPC 82/4/4 (Denmark) and MEPC 83/4/9 (Australia and Denmark) submitted proposals for improving monitoring of DBPs and the need to gather information related to the formation of DBPs.</w:t>
      </w:r>
    </w:p>
    <w:p w14:paraId="2A7DD6A8" w14:textId="77777777" w:rsidR="00DE1509" w:rsidRDefault="00DE1509" w:rsidP="00DE1509">
      <w:pPr>
        <w:ind w:left="0" w:firstLine="0"/>
      </w:pPr>
    </w:p>
    <w:p w14:paraId="1525D92A" w14:textId="374014E6" w:rsidR="009121D1" w:rsidRDefault="009121D1" w:rsidP="004846F9">
      <w:pPr>
        <w:pStyle w:val="ListParagraph"/>
        <w:numPr>
          <w:ilvl w:val="0"/>
          <w:numId w:val="9"/>
        </w:numPr>
        <w:ind w:left="851" w:hanging="851"/>
      </w:pPr>
      <w:r>
        <w:t>MEPC 83/INF.28 (Norway) provided a public access database with the data collated from Final Approval applications for BWMS up to a</w:t>
      </w:r>
      <w:r w:rsidR="00207D67">
        <w:t>nd</w:t>
      </w:r>
      <w:r>
        <w:t xml:space="preserve"> including MEPC 82.</w:t>
      </w:r>
      <w:r w:rsidR="00DB01DF">
        <w:t xml:space="preserve"> The paper noted that across all the applications that had been submitted, the data provided in MEPC 81/INF.6 and MEPC 82.INF.40 were within the range of all approved BWMS.</w:t>
      </w:r>
    </w:p>
    <w:p w14:paraId="4DAE7A20" w14:textId="77777777" w:rsidR="00DE1509" w:rsidRDefault="00DE1509" w:rsidP="00DE1509">
      <w:pPr>
        <w:ind w:left="0" w:firstLine="0"/>
      </w:pPr>
    </w:p>
    <w:p w14:paraId="231D75DC" w14:textId="4D3288E1" w:rsidR="00DB01DF" w:rsidRDefault="00DB01DF" w:rsidP="004846F9">
      <w:pPr>
        <w:pStyle w:val="ListParagraph"/>
        <w:numPr>
          <w:ilvl w:val="0"/>
          <w:numId w:val="9"/>
        </w:numPr>
        <w:ind w:left="851" w:hanging="851"/>
      </w:pPr>
      <w:bookmarkStart w:id="12" w:name="_Hlk217027726"/>
      <w:r>
        <w:t>MEPC 83/WP.12 invited interested member States and international organizations to submit data and information on the formation and range of DBPs and other relevant chemicals from ballast water management systems (BWMS) that make use of Active Substances, including filter-less BWMS, to future sessions.</w:t>
      </w:r>
    </w:p>
    <w:p w14:paraId="006847F8" w14:textId="77777777" w:rsidR="00DE1509" w:rsidRDefault="00DE1509" w:rsidP="00DE1509">
      <w:pPr>
        <w:ind w:left="0" w:firstLine="0"/>
      </w:pPr>
    </w:p>
    <w:bookmarkEnd w:id="12"/>
    <w:p w14:paraId="12F45DE5" w14:textId="75C89F25" w:rsidR="00200C07" w:rsidRDefault="00200C07" w:rsidP="004846F9">
      <w:pPr>
        <w:pStyle w:val="ListParagraph"/>
        <w:numPr>
          <w:ilvl w:val="0"/>
          <w:numId w:val="9"/>
        </w:numPr>
        <w:ind w:left="851" w:hanging="851"/>
      </w:pPr>
      <w:r>
        <w:t xml:space="preserve">This document provides </w:t>
      </w:r>
      <w:proofErr w:type="gramStart"/>
      <w:r w:rsidR="00B86F10">
        <w:t>a</w:t>
      </w:r>
      <w:r w:rsidR="001E2243">
        <w:t xml:space="preserve"> number of</w:t>
      </w:r>
      <w:proofErr w:type="gramEnd"/>
      <w:r w:rsidR="001E2243">
        <w:t xml:space="preserve"> proposals related to the Procedure – especially </w:t>
      </w:r>
      <w:proofErr w:type="gramStart"/>
      <w:r w:rsidR="001E2243">
        <w:t>in regard to</w:t>
      </w:r>
      <w:proofErr w:type="gramEnd"/>
      <w:r w:rsidR="001E2243">
        <w:t xml:space="preserve"> its alignment with the mandatory BWMS Code</w:t>
      </w:r>
      <w:r w:rsidR="00B86F10">
        <w:t xml:space="preserve"> </w:t>
      </w:r>
      <w:r w:rsidR="001E2243">
        <w:t>– and to continue the collection of information related to DBP production and release into the environment</w:t>
      </w:r>
      <w:r w:rsidR="00DB7EE0">
        <w:t>.</w:t>
      </w:r>
    </w:p>
    <w:p w14:paraId="17AAC390" w14:textId="77777777" w:rsidR="00207D67" w:rsidRDefault="00207D67" w:rsidP="00DB01DF">
      <w:pPr>
        <w:rPr>
          <w:b/>
          <w:bCs/>
        </w:rPr>
      </w:pPr>
    </w:p>
    <w:p w14:paraId="1E723E36" w14:textId="727AB7BF" w:rsidR="00843A7E" w:rsidRDefault="00843A7E" w:rsidP="002A5BD3">
      <w:pPr>
        <w:rPr>
          <w:b/>
          <w:bCs/>
        </w:rPr>
      </w:pPr>
      <w:r>
        <w:rPr>
          <w:b/>
          <w:bCs/>
        </w:rPr>
        <w:t>The Procedure (G9)</w:t>
      </w:r>
    </w:p>
    <w:p w14:paraId="2AA46C5D" w14:textId="77777777" w:rsidR="00843A7E" w:rsidRDefault="00843A7E" w:rsidP="002A5BD3"/>
    <w:p w14:paraId="14AEB2A2" w14:textId="7887D3E7" w:rsidR="003E193A" w:rsidRDefault="00134D26" w:rsidP="00843A7E">
      <w:pPr>
        <w:pStyle w:val="ListParagraph"/>
        <w:numPr>
          <w:ilvl w:val="0"/>
          <w:numId w:val="9"/>
        </w:numPr>
        <w:ind w:left="851" w:hanging="851"/>
      </w:pPr>
      <w:r>
        <w:t>The</w:t>
      </w:r>
      <w:r w:rsidR="003E193A">
        <w:t xml:space="preserve"> objective of the</w:t>
      </w:r>
      <w:r>
        <w:t xml:space="preserve"> Procedure</w:t>
      </w:r>
      <w:r w:rsidR="007A2820">
        <w:t xml:space="preserve"> (G9)</w:t>
      </w:r>
      <w:r>
        <w:t xml:space="preserve"> </w:t>
      </w:r>
      <w:r w:rsidR="003E193A">
        <w:t xml:space="preserve">is to determine the acceptability of Active Substances and Preparations and their application in BWMS in relation to ship safety, human health and the aquatic environment. The Procedure </w:t>
      </w:r>
      <w:r w:rsidR="007A2820">
        <w:t xml:space="preserve">(G9) </w:t>
      </w:r>
      <w:r w:rsidR="003E193A">
        <w:t>does not assess the efficacy of the BWMS</w:t>
      </w:r>
      <w:r w:rsidR="00336332">
        <w:t xml:space="preserve">, </w:t>
      </w:r>
      <w:r w:rsidR="007A7DBB">
        <w:t>that</w:t>
      </w:r>
      <w:r w:rsidR="00336332">
        <w:t xml:space="preserve"> efficacy testing</w:t>
      </w:r>
      <w:r w:rsidR="003E193A">
        <w:t xml:space="preserve"> is completed under the BWMS Code (MEPC.300(72). </w:t>
      </w:r>
    </w:p>
    <w:p w14:paraId="6F05C49A" w14:textId="77777777" w:rsidR="003E193A" w:rsidRDefault="003E193A" w:rsidP="00063EC7">
      <w:pPr>
        <w:pStyle w:val="ListParagraph"/>
        <w:ind w:left="851" w:firstLine="0"/>
      </w:pPr>
    </w:p>
    <w:p w14:paraId="026F1319" w14:textId="37B8E4C7" w:rsidR="00B1060B" w:rsidRDefault="003E193A" w:rsidP="001C439A">
      <w:pPr>
        <w:pStyle w:val="ListParagraph"/>
        <w:numPr>
          <w:ilvl w:val="0"/>
          <w:numId w:val="9"/>
        </w:numPr>
        <w:ind w:left="851" w:hanging="851"/>
      </w:pPr>
      <w:r>
        <w:lastRenderedPageBreak/>
        <w:t xml:space="preserve">The Procedure </w:t>
      </w:r>
      <w:r w:rsidR="007A2820">
        <w:t xml:space="preserve">(G9) </w:t>
      </w:r>
      <w:r w:rsidR="00134D26">
        <w:t>has not been updated since 2008</w:t>
      </w:r>
      <w:r w:rsidR="00843A7E">
        <w:t>.</w:t>
      </w:r>
      <w:r w:rsidR="00134D26">
        <w:t xml:space="preserve"> </w:t>
      </w:r>
      <w:r w:rsidR="00336332">
        <w:t>Given the ongoing review of the BWM Convention and the BWMS Code, a wholistic review of the Procedure (G9) should be undertaken to ensure that relevant consequential amendments are made.</w:t>
      </w:r>
      <w:r w:rsidR="00B1060B">
        <w:t xml:space="preserve"> For example, t</w:t>
      </w:r>
      <w:r w:rsidR="00B46BD9">
        <w:t xml:space="preserve">he Procedure </w:t>
      </w:r>
      <w:r w:rsidR="007A2820">
        <w:t xml:space="preserve">(G9) </w:t>
      </w:r>
      <w:r w:rsidR="00B46BD9">
        <w:t>only refers to the Guidelines (G8) without footnote to ‘as may be amended’ (see para 1.4, Annex, MEPC.169(57)</w:t>
      </w:r>
      <w:r w:rsidR="003455D1">
        <w:t>). Thus</w:t>
      </w:r>
      <w:r w:rsidR="00B46BD9">
        <w:t>, the Procedure does not, at any stage, refer to the BWMS Code.</w:t>
      </w:r>
    </w:p>
    <w:p w14:paraId="4226F0CC" w14:textId="77777777" w:rsidR="002E701F" w:rsidRDefault="002E701F" w:rsidP="00496C3A">
      <w:pPr>
        <w:pStyle w:val="ListParagraph"/>
      </w:pPr>
    </w:p>
    <w:p w14:paraId="03825BAE" w14:textId="5DEECA28" w:rsidR="002374B6" w:rsidRDefault="00B1060B" w:rsidP="00496C3A">
      <w:pPr>
        <w:pStyle w:val="ListParagraph"/>
        <w:numPr>
          <w:ilvl w:val="0"/>
          <w:numId w:val="9"/>
        </w:numPr>
        <w:ind w:left="851" w:hanging="851"/>
      </w:pPr>
      <w:r w:rsidRPr="00496C3A">
        <w:t>Further, a wholistic review of</w:t>
      </w:r>
      <w:r w:rsidR="002374B6" w:rsidRPr="00496C3A">
        <w:t xml:space="preserve"> Proced</w:t>
      </w:r>
      <w:r w:rsidR="00AB66C8" w:rsidRPr="00496C3A">
        <w:t xml:space="preserve">ure (G9) </w:t>
      </w:r>
      <w:r w:rsidR="00EA4011" w:rsidRPr="00496C3A">
        <w:t>would allow for</w:t>
      </w:r>
      <w:r w:rsidRPr="00496C3A">
        <w:t xml:space="preserve"> revisions to aspects </w:t>
      </w:r>
      <w:r w:rsidR="00AB66C8" w:rsidRPr="00496C3A">
        <w:t>that</w:t>
      </w:r>
      <w:r w:rsidR="00496C3A" w:rsidRPr="00496C3A">
        <w:t xml:space="preserve"> if improved</w:t>
      </w:r>
      <w:r w:rsidR="00AB66C8" w:rsidRPr="00496C3A">
        <w:t xml:space="preserve"> </w:t>
      </w:r>
      <w:r w:rsidR="00B21172" w:rsidRPr="00496C3A">
        <w:t xml:space="preserve">would help to reduce the </w:t>
      </w:r>
      <w:r w:rsidR="00496C3A">
        <w:t>amount</w:t>
      </w:r>
      <w:r w:rsidR="00B21172" w:rsidRPr="00496C3A">
        <w:t xml:space="preserve"> of DBPs in discharged ballast water,</w:t>
      </w:r>
      <w:r w:rsidRPr="00496C3A">
        <w:t xml:space="preserve"> for</w:t>
      </w:r>
      <w:r>
        <w:t xml:space="preserve"> example:</w:t>
      </w:r>
    </w:p>
    <w:p w14:paraId="164A511B" w14:textId="77777777" w:rsidR="00B1060B" w:rsidRDefault="00B1060B" w:rsidP="001C439A">
      <w:pPr>
        <w:ind w:hanging="720"/>
      </w:pPr>
    </w:p>
    <w:p w14:paraId="33C9BF2B" w14:textId="77777777" w:rsidR="00B21172" w:rsidRDefault="00336332" w:rsidP="002E701F">
      <w:pPr>
        <w:ind w:left="1702" w:firstLine="0"/>
      </w:pPr>
      <w:r>
        <w:t xml:space="preserve">.1 </w:t>
      </w:r>
      <w:r w:rsidR="00B21172">
        <w:t>I</w:t>
      </w:r>
      <w:r w:rsidR="00B21172" w:rsidRPr="00B21172">
        <w:t xml:space="preserve">nformation </w:t>
      </w:r>
      <w:r w:rsidR="00B21172">
        <w:t xml:space="preserve">is needed </w:t>
      </w:r>
      <w:r w:rsidR="00B21172" w:rsidRPr="00B21172">
        <w:t xml:space="preserve">to understand </w:t>
      </w:r>
      <w:r w:rsidR="00B21172">
        <w:t>actual levels of DBP production and how the</w:t>
      </w:r>
      <w:r w:rsidR="00B21172" w:rsidRPr="00B21172">
        <w:t xml:space="preserve"> </w:t>
      </w:r>
      <w:r w:rsidR="00B21172">
        <w:t>type-approval</w:t>
      </w:r>
      <w:r w:rsidR="00B21172" w:rsidRPr="00B21172">
        <w:t xml:space="preserve"> process is reflective of real use</w:t>
      </w:r>
      <w:r w:rsidR="00B21172">
        <w:t xml:space="preserve"> and formation of DBPs. This could be achieved in two parts: </w:t>
      </w:r>
    </w:p>
    <w:p w14:paraId="331EBC32" w14:textId="3F006A24" w:rsidR="00B21172" w:rsidRDefault="00B21172" w:rsidP="00B21172">
      <w:pPr>
        <w:ind w:left="2553" w:firstLine="0"/>
      </w:pPr>
      <w:r>
        <w:t>i. Given that t</w:t>
      </w:r>
      <w:r w:rsidR="00AB66C8">
        <w:t>he Procedure (G9) indicates that a data set for Active Substances and Preparations needs to be included in the proposal for approval</w:t>
      </w:r>
      <w:r>
        <w:t xml:space="preserve">, this could be </w:t>
      </w:r>
      <w:r w:rsidR="005F6EE8">
        <w:t>expanded</w:t>
      </w:r>
      <w:r w:rsidR="00AB66C8">
        <w:t xml:space="preserve"> to outline </w:t>
      </w:r>
      <w:r w:rsidR="00AB33E3">
        <w:t xml:space="preserve">a </w:t>
      </w:r>
      <w:r w:rsidR="005F6EE8">
        <w:t xml:space="preserve">specific </w:t>
      </w:r>
      <w:r w:rsidR="00AB33E3">
        <w:t>minimum requirement of what is</w:t>
      </w:r>
      <w:r w:rsidR="00AB66C8">
        <w:t xml:space="preserve"> included within that data set</w:t>
      </w:r>
      <w:r>
        <w:t xml:space="preserve">. </w:t>
      </w:r>
    </w:p>
    <w:p w14:paraId="7ECA238A" w14:textId="77777777" w:rsidR="00B21172" w:rsidRDefault="00B21172" w:rsidP="00B21172">
      <w:pPr>
        <w:ind w:left="2553" w:firstLine="0"/>
      </w:pPr>
    </w:p>
    <w:p w14:paraId="2FED4598" w14:textId="1DA1AABB" w:rsidR="00AB66C8" w:rsidRDefault="00B21172" w:rsidP="00496C3A">
      <w:pPr>
        <w:ind w:left="2553" w:firstLine="0"/>
      </w:pPr>
      <w:r>
        <w:t>ii. Secondly, t</w:t>
      </w:r>
      <w:r w:rsidR="00AB66C8">
        <w:t>he Final Approval provided by GESAMP to the Committee may include recommendations for the Administration to consider before granting Type Approval</w:t>
      </w:r>
      <w:r w:rsidR="0041670E">
        <w:t xml:space="preserve"> (see para 37, MEPC 84/INF.X)</w:t>
      </w:r>
      <w:r w:rsidR="00AB66C8">
        <w:t xml:space="preserve">. In general, most Type Approval documents include, at most, a statement that the recommendations have been considered. Administrations should be required to outline </w:t>
      </w:r>
      <w:r w:rsidR="00457217">
        <w:t xml:space="preserve">specifically and individually </w:t>
      </w:r>
      <w:r w:rsidR="00AB66C8">
        <w:t xml:space="preserve">how the recommendations were considered </w:t>
      </w:r>
      <w:r w:rsidR="00457217">
        <w:t>(</w:t>
      </w:r>
      <w:r w:rsidR="007C0183">
        <w:t>consistent with the requirements</w:t>
      </w:r>
      <w:r w:rsidR="00457217">
        <w:t xml:space="preserve"> after the Basic Approval) </w:t>
      </w:r>
      <w:r w:rsidR="00AB66C8">
        <w:t xml:space="preserve">to ensure transparency throughout the entire </w:t>
      </w:r>
      <w:r w:rsidR="007A2820">
        <w:t xml:space="preserve">Type Approval </w:t>
      </w:r>
      <w:r w:rsidR="00AB66C8">
        <w:t>process.</w:t>
      </w:r>
    </w:p>
    <w:p w14:paraId="28536EFA" w14:textId="24143C03" w:rsidR="00095862" w:rsidRDefault="00095862" w:rsidP="001C439A">
      <w:pPr>
        <w:ind w:left="1702" w:firstLine="0"/>
      </w:pPr>
    </w:p>
    <w:p w14:paraId="69677A1A" w14:textId="261F3863" w:rsidR="000C3822" w:rsidRDefault="000C3822" w:rsidP="002E701F">
      <w:pPr>
        <w:rPr>
          <w:b/>
          <w:bCs/>
        </w:rPr>
      </w:pPr>
      <w:r>
        <w:rPr>
          <w:b/>
          <w:bCs/>
        </w:rPr>
        <w:t>BWMS Code</w:t>
      </w:r>
    </w:p>
    <w:p w14:paraId="5342EF21" w14:textId="3B1114A7" w:rsidR="000C3822" w:rsidRPr="00496C3A" w:rsidRDefault="00496C3A" w:rsidP="00496C3A">
      <w:pPr>
        <w:tabs>
          <w:tab w:val="left" w:pos="1488"/>
        </w:tabs>
        <w:rPr>
          <w:b/>
          <w:bCs/>
        </w:rPr>
      </w:pPr>
      <w:r>
        <w:rPr>
          <w:b/>
          <w:bCs/>
        </w:rPr>
        <w:tab/>
      </w:r>
      <w:r>
        <w:rPr>
          <w:b/>
          <w:bCs/>
        </w:rPr>
        <w:tab/>
      </w:r>
    </w:p>
    <w:p w14:paraId="75601D33" w14:textId="34CF429E" w:rsidR="002E701F" w:rsidRDefault="002E701F" w:rsidP="002E701F">
      <w:r>
        <w:t>14</w:t>
      </w:r>
      <w:r>
        <w:tab/>
      </w:r>
      <w:r w:rsidR="000C3822">
        <w:t xml:space="preserve">As </w:t>
      </w:r>
      <w:r w:rsidR="00496C3A">
        <w:t>described</w:t>
      </w:r>
      <w:r w:rsidR="000C3822">
        <w:t xml:space="preserve"> in MEPC 84/INF.X (para 35.2), the type of organic content added to test water influences DBP production and since real world measurements of DBPs in discharged ballast water exceed Type Approval calculations, r</w:t>
      </w:r>
      <w:r>
        <w:t>evisions to the BWMS Code could also be considered, such as:</w:t>
      </w:r>
    </w:p>
    <w:p w14:paraId="271877E7" w14:textId="77777777" w:rsidR="002E701F" w:rsidRDefault="002E701F" w:rsidP="002E701F"/>
    <w:p w14:paraId="3BFA978B" w14:textId="3935CBF0" w:rsidR="002E701F" w:rsidRDefault="00426FF0" w:rsidP="002E701F">
      <w:pPr>
        <w:pStyle w:val="ListParagraph"/>
        <w:numPr>
          <w:ilvl w:val="1"/>
          <w:numId w:val="9"/>
        </w:numPr>
      </w:pPr>
      <w:r>
        <w:t xml:space="preserve">Reviewing the products added to test water and their impact on DBP production (both type and level) in connection with </w:t>
      </w:r>
      <w:r w:rsidR="002E701F">
        <w:t>Objectives 29, 32 and 73 (MEPC 83/WP.12) of the Review of the BWM Convention</w:t>
      </w:r>
      <w:r>
        <w:t>. These objectives</w:t>
      </w:r>
      <w:r w:rsidR="002E701F">
        <w:t xml:space="preserve"> all deal with aspects of the organic content of the test water used during the Type Approval process.</w:t>
      </w:r>
    </w:p>
    <w:p w14:paraId="17948C7C" w14:textId="77777777" w:rsidR="002E701F" w:rsidRDefault="002E701F" w:rsidP="002E701F">
      <w:pPr>
        <w:pStyle w:val="ListParagraph"/>
      </w:pPr>
    </w:p>
    <w:p w14:paraId="38DE347C" w14:textId="68CA42B4" w:rsidR="002E701F" w:rsidRDefault="00426FF0" w:rsidP="002E701F">
      <w:pPr>
        <w:pStyle w:val="ListParagraph"/>
        <w:numPr>
          <w:ilvl w:val="1"/>
          <w:numId w:val="9"/>
        </w:numPr>
      </w:pPr>
      <w:r>
        <w:t>Requiring the inclusion of</w:t>
      </w:r>
      <w:r w:rsidR="002E701F">
        <w:t xml:space="preserve"> reporting of the components added to test water for augmentation in relation to subsequent DBP production.</w:t>
      </w:r>
    </w:p>
    <w:p w14:paraId="23C212E3" w14:textId="77777777" w:rsidR="002E701F" w:rsidRDefault="002E701F" w:rsidP="00496C3A">
      <w:pPr>
        <w:pStyle w:val="ListParagraph"/>
      </w:pPr>
    </w:p>
    <w:p w14:paraId="11953294" w14:textId="3032FFFD" w:rsidR="002E701F" w:rsidRDefault="002E701F" w:rsidP="002E701F">
      <w:pPr>
        <w:pStyle w:val="ListParagraph"/>
        <w:numPr>
          <w:ilvl w:val="1"/>
          <w:numId w:val="9"/>
        </w:numPr>
      </w:pPr>
      <w:r>
        <w:t>A</w:t>
      </w:r>
      <w:r w:rsidR="00426FF0">
        <w:t>dding a</w:t>
      </w:r>
      <w:r>
        <w:t>n objective to expand the components that must be reported in the Type Approval Report relevant to the Procedure.</w:t>
      </w:r>
    </w:p>
    <w:p w14:paraId="5884F66E" w14:textId="77777777" w:rsidR="002E701F" w:rsidRDefault="002E701F" w:rsidP="00496C3A"/>
    <w:p w14:paraId="5E545646" w14:textId="77777777" w:rsidR="00843A7E" w:rsidRPr="00843A7E" w:rsidRDefault="00843A7E" w:rsidP="002A5BD3"/>
    <w:p w14:paraId="3706A645" w14:textId="781E1C14" w:rsidR="002A5BD3" w:rsidRPr="004846F9" w:rsidRDefault="002A5BD3" w:rsidP="002A5BD3">
      <w:pPr>
        <w:rPr>
          <w:b/>
          <w:bCs/>
        </w:rPr>
      </w:pPr>
      <w:r>
        <w:rPr>
          <w:b/>
          <w:bCs/>
        </w:rPr>
        <w:t xml:space="preserve">Current knowledge </w:t>
      </w:r>
      <w:r w:rsidR="00AF670C">
        <w:rPr>
          <w:b/>
          <w:bCs/>
        </w:rPr>
        <w:t xml:space="preserve">about </w:t>
      </w:r>
      <w:r>
        <w:rPr>
          <w:b/>
          <w:bCs/>
        </w:rPr>
        <w:t>DBPs</w:t>
      </w:r>
    </w:p>
    <w:p w14:paraId="152586DA" w14:textId="77777777" w:rsidR="002A5BD3" w:rsidRDefault="002A5BD3" w:rsidP="002A5BD3"/>
    <w:p w14:paraId="690A5982" w14:textId="2BB929D3" w:rsidR="00843A7E" w:rsidRDefault="00496C3A" w:rsidP="00496C3A">
      <w:pPr>
        <w:ind w:hanging="720"/>
      </w:pPr>
      <w:r>
        <w:t>15</w:t>
      </w:r>
      <w:r>
        <w:tab/>
      </w:r>
      <w:r w:rsidR="002A5BD3">
        <w:t xml:space="preserve">MEPC 84/INF.X (Australia) provides </w:t>
      </w:r>
      <w:r w:rsidR="00AF670C">
        <w:t>a summary of</w:t>
      </w:r>
      <w:r w:rsidR="002A5BD3">
        <w:t xml:space="preserve"> the current state of knowledge </w:t>
      </w:r>
      <w:r w:rsidR="00AF670C">
        <w:t xml:space="preserve">of </w:t>
      </w:r>
      <w:r w:rsidR="002A5BD3">
        <w:t xml:space="preserve">DBPs, </w:t>
      </w:r>
      <w:r w:rsidR="00843A7E">
        <w:t>highlight</w:t>
      </w:r>
      <w:r w:rsidR="0041670E">
        <w:t>ing</w:t>
      </w:r>
      <w:r w:rsidR="00843A7E">
        <w:t xml:space="preserve"> the large gaps in knowledge </w:t>
      </w:r>
      <w:r w:rsidR="00AF670C">
        <w:t xml:space="preserve">about </w:t>
      </w:r>
      <w:r w:rsidR="00843A7E">
        <w:t>DBP</w:t>
      </w:r>
      <w:r w:rsidR="00AF670C">
        <w:t xml:space="preserve"> formation</w:t>
      </w:r>
      <w:r w:rsidR="0041670E" w:rsidRPr="0041670E">
        <w:t xml:space="preserve"> </w:t>
      </w:r>
      <w:r w:rsidR="0041670E">
        <w:t>and impact</w:t>
      </w:r>
      <w:r w:rsidR="00BF66C7">
        <w:t xml:space="preserve"> </w:t>
      </w:r>
      <w:r w:rsidR="0041670E">
        <w:lastRenderedPageBreak/>
        <w:t xml:space="preserve">(see para 35-44) </w:t>
      </w:r>
      <w:r w:rsidR="00843A7E">
        <w:t xml:space="preserve">and the need to continue </w:t>
      </w:r>
      <w:r w:rsidR="00AF670C">
        <w:t xml:space="preserve">to </w:t>
      </w:r>
      <w:r w:rsidR="00843A7E">
        <w:t>measure DBPs in discharg</w:t>
      </w:r>
      <w:r w:rsidR="00AF670C">
        <w:t>ed</w:t>
      </w:r>
      <w:r w:rsidR="00843A7E">
        <w:t xml:space="preserve"> ballast water</w:t>
      </w:r>
      <w:r w:rsidR="0041670E">
        <w:t xml:space="preserve"> (see para 43)</w:t>
      </w:r>
      <w:r w:rsidR="00843A7E">
        <w:t>.</w:t>
      </w:r>
    </w:p>
    <w:p w14:paraId="1B5EA25C" w14:textId="77777777" w:rsidR="00843A7E" w:rsidRDefault="00843A7E" w:rsidP="009B2AEE"/>
    <w:p w14:paraId="072A9779" w14:textId="2440F568" w:rsidR="00B86F10" w:rsidRDefault="00496C3A" w:rsidP="00496C3A">
      <w:pPr>
        <w:ind w:hanging="720"/>
      </w:pPr>
      <w:r>
        <w:t>16</w:t>
      </w:r>
      <w:r>
        <w:tab/>
      </w:r>
      <w:r w:rsidR="002A5BD3">
        <w:t>MEPC 84/INF.X (</w:t>
      </w:r>
      <w:proofErr w:type="spellStart"/>
      <w:r w:rsidR="002A5BD3">
        <w:t>GlobalTestNet</w:t>
      </w:r>
      <w:proofErr w:type="spellEnd"/>
      <w:r w:rsidR="002A5BD3">
        <w:t>) provides the results of analys</w:t>
      </w:r>
      <w:r w:rsidR="00AF670C">
        <w:t>e</w:t>
      </w:r>
      <w:r w:rsidR="002A5BD3">
        <w:t>s of discharg</w:t>
      </w:r>
      <w:r w:rsidR="00AF670C">
        <w:t>ed</w:t>
      </w:r>
      <w:r w:rsidR="002A5BD3">
        <w:t xml:space="preserve"> ballast water</w:t>
      </w:r>
      <w:r w:rsidR="00AF670C">
        <w:t xml:space="preserve"> for DBPs</w:t>
      </w:r>
      <w:r w:rsidR="001346CF">
        <w:t xml:space="preserve"> and other chemicals</w:t>
      </w:r>
      <w:r w:rsidR="002A5BD3">
        <w:t xml:space="preserve"> from the publicly available US EPA database. </w:t>
      </w:r>
    </w:p>
    <w:p w14:paraId="0898D213" w14:textId="77777777" w:rsidR="00DA4822" w:rsidRDefault="00DA4822" w:rsidP="00DA4822">
      <w:pPr>
        <w:ind w:left="0" w:firstLine="0"/>
      </w:pPr>
    </w:p>
    <w:p w14:paraId="2E7FF425" w14:textId="76146753" w:rsidR="005F6EE8" w:rsidRDefault="00496C3A" w:rsidP="00496C3A">
      <w:pPr>
        <w:ind w:hanging="720"/>
      </w:pPr>
      <w:r>
        <w:t>17</w:t>
      </w:r>
      <w:r>
        <w:tab/>
      </w:r>
      <w:r w:rsidR="00DA4822">
        <w:t>The United States 2013 Vessel General Permit (VGP) requires ongoing monitoring and reporting of BWMS discharges, including residual biocides and biocide derivatives (DBPs).</w:t>
      </w:r>
      <w:r w:rsidR="00DA4822" w:rsidRPr="00B22517">
        <w:t xml:space="preserve"> </w:t>
      </w:r>
      <w:r w:rsidR="00DA4822">
        <w:t>In the United Sates, State-level regulations limit the concentration of DBPs released. The analysis in MEPC 84/INF.X found that discharge concentrations of Trihalomethanes (THMs) and chlorate were up to 10x and 4000x above the relative limits, respectively.</w:t>
      </w:r>
    </w:p>
    <w:p w14:paraId="06374357" w14:textId="77777777" w:rsidR="001346CF" w:rsidRDefault="001346CF" w:rsidP="001346CF">
      <w:pPr>
        <w:pStyle w:val="ListParagraph"/>
      </w:pPr>
    </w:p>
    <w:p w14:paraId="21DD8C5A" w14:textId="4D5238FC" w:rsidR="006A6204" w:rsidRDefault="006A6204" w:rsidP="006A6204">
      <w:pPr>
        <w:ind w:left="0" w:firstLine="0"/>
      </w:pPr>
      <w:r>
        <w:rPr>
          <w:b/>
          <w:bCs/>
        </w:rPr>
        <w:t>Discussion</w:t>
      </w:r>
    </w:p>
    <w:p w14:paraId="4B5E23EC" w14:textId="77777777" w:rsidR="006A6204" w:rsidRDefault="006A6204" w:rsidP="006A6204">
      <w:pPr>
        <w:ind w:left="0" w:firstLine="0"/>
      </w:pPr>
    </w:p>
    <w:p w14:paraId="5B58D027" w14:textId="4D914A80" w:rsidR="00222E1B" w:rsidRDefault="007A22E3" w:rsidP="00496C3A">
      <w:pPr>
        <w:ind w:hanging="720"/>
      </w:pPr>
      <w:r>
        <w:t>18</w:t>
      </w:r>
      <w:r>
        <w:tab/>
      </w:r>
      <w:r w:rsidR="00222E1B">
        <w:t>The BWM Convention has an obligation to prevent, minimize and ultimately eliminate the transfer of harmful aquatic organisms and pathogens through the control and management of ships’ ballast water (Article 2.5) while ensuring that the ballast water management practices used do not cause greater harm th</w:t>
      </w:r>
      <w:r w:rsidR="009B2AEE">
        <w:t>a</w:t>
      </w:r>
      <w:r w:rsidR="00222E1B">
        <w:t>n they prevent to their environment, human health, property or resources (Article 2.</w:t>
      </w:r>
      <w:r w:rsidR="00BA77D5">
        <w:t>7).</w:t>
      </w:r>
    </w:p>
    <w:p w14:paraId="629F24D6" w14:textId="77777777" w:rsidR="00DA4822" w:rsidRDefault="00DA4822" w:rsidP="007A22E3">
      <w:pPr>
        <w:ind w:hanging="720"/>
      </w:pPr>
    </w:p>
    <w:p w14:paraId="4963693F" w14:textId="68954BF4" w:rsidR="00DA4822" w:rsidRDefault="007A22E3" w:rsidP="00496C3A">
      <w:pPr>
        <w:ind w:hanging="720"/>
      </w:pPr>
      <w:r>
        <w:t>19</w:t>
      </w:r>
      <w:r>
        <w:tab/>
      </w:r>
      <w:r w:rsidR="00DA4822">
        <w:t>It is recognized that BWMS that make use of Active Substances will generate, and ultimately release, DBPs, and the Procedure</w:t>
      </w:r>
      <w:r w:rsidR="007A2820">
        <w:t xml:space="preserve"> (G9)</w:t>
      </w:r>
      <w:r w:rsidR="00DA4822">
        <w:t xml:space="preserve"> has been developed to ensure the Type Approval process assesses the potential impacts of these chemicals on the environment and human health.</w:t>
      </w:r>
    </w:p>
    <w:p w14:paraId="1A37D69C" w14:textId="77777777" w:rsidR="00DA4822" w:rsidRDefault="00DA4822" w:rsidP="007A22E3">
      <w:pPr>
        <w:ind w:hanging="720"/>
      </w:pPr>
    </w:p>
    <w:p w14:paraId="4A9451F6" w14:textId="257C253E" w:rsidR="00BA77D5" w:rsidRDefault="007A22E3" w:rsidP="00496C3A">
      <w:pPr>
        <w:ind w:hanging="720"/>
      </w:pPr>
      <w:r>
        <w:t>20</w:t>
      </w:r>
      <w:r>
        <w:tab/>
      </w:r>
      <w:r w:rsidR="0095344D">
        <w:t xml:space="preserve">The information </w:t>
      </w:r>
      <w:r w:rsidR="00FE759F">
        <w:t>available about what</w:t>
      </w:r>
      <w:r w:rsidR="0095344D">
        <w:t xml:space="preserve"> DBPs </w:t>
      </w:r>
      <w:r w:rsidR="00FE759F">
        <w:t xml:space="preserve">are </w:t>
      </w:r>
      <w:r w:rsidR="0095344D">
        <w:t>released by BWMS that make use of Active Substances</w:t>
      </w:r>
      <w:r w:rsidR="00BA77D5">
        <w:t>, however,</w:t>
      </w:r>
      <w:r w:rsidR="0095344D">
        <w:t xml:space="preserve"> is limited and fragmentary. </w:t>
      </w:r>
      <w:r w:rsidR="00BA77D5">
        <w:t xml:space="preserve">The range of DBPs produced by a BWMS is extensive and related to </w:t>
      </w:r>
      <w:proofErr w:type="gramStart"/>
      <w:r w:rsidR="00BA77D5">
        <w:t>a number of</w:t>
      </w:r>
      <w:proofErr w:type="gramEnd"/>
      <w:r w:rsidR="00BA77D5">
        <w:t xml:space="preserve"> factors, including the sediment load and salinity of the source water. </w:t>
      </w:r>
      <w:r w:rsidR="00E66D99">
        <w:t>Further research is required to document the range of DBPs produced across these various environmental conditions.</w:t>
      </w:r>
    </w:p>
    <w:p w14:paraId="37192EFF" w14:textId="77777777" w:rsidR="00BA77D5" w:rsidRDefault="00BA77D5" w:rsidP="007A22E3">
      <w:pPr>
        <w:ind w:hanging="720"/>
      </w:pPr>
    </w:p>
    <w:p w14:paraId="10632C46" w14:textId="607B9DBC" w:rsidR="00BA77D5" w:rsidRDefault="007A22E3" w:rsidP="00496C3A">
      <w:pPr>
        <w:ind w:hanging="720"/>
      </w:pPr>
      <w:r>
        <w:t>21</w:t>
      </w:r>
      <w:r>
        <w:tab/>
      </w:r>
      <w:r w:rsidR="00BA77D5">
        <w:t xml:space="preserve">Assessment of the BWMS under the Procedure </w:t>
      </w:r>
      <w:r w:rsidR="007A2820">
        <w:t xml:space="preserve">(G9) </w:t>
      </w:r>
      <w:r w:rsidR="00BA77D5">
        <w:t xml:space="preserve">is undertaken by GESAMP. The sponsors of this document wish to thank and support GESAMP for the work that they undertake in the assessments of these Type Approval applications and reinforce that this document is not intended as a rebuttal of their efforts. This document hopes to </w:t>
      </w:r>
      <w:r w:rsidR="00E66D99">
        <w:t>review</w:t>
      </w:r>
      <w:r w:rsidR="00BA77D5">
        <w:t xml:space="preserve"> the Type Approval process to improve the efficiency of GESAMP’s assessments and reporting.</w:t>
      </w:r>
    </w:p>
    <w:p w14:paraId="47A621F7" w14:textId="77777777" w:rsidR="00BA77D5" w:rsidRDefault="00BA77D5" w:rsidP="007A22E3">
      <w:pPr>
        <w:ind w:hanging="720"/>
      </w:pPr>
    </w:p>
    <w:p w14:paraId="73736C59" w14:textId="2C8E46ED" w:rsidR="005F6EE8" w:rsidRDefault="007A22E3" w:rsidP="00496C3A">
      <w:pPr>
        <w:ind w:hanging="720"/>
      </w:pPr>
      <w:r>
        <w:t>22</w:t>
      </w:r>
      <w:r>
        <w:tab/>
      </w:r>
      <w:r w:rsidR="005F6EE8">
        <w:t>The information available within the non-proprietary data associated with the Basic and Final Approval documents should be reviewed to ensure that all information relevant to interested Parties is available</w:t>
      </w:r>
      <w:r w:rsidR="007A2820">
        <w:t>.</w:t>
      </w:r>
    </w:p>
    <w:p w14:paraId="2E108666" w14:textId="77777777" w:rsidR="005F6EE8" w:rsidRDefault="005F6EE8" w:rsidP="00063EC7">
      <w:pPr>
        <w:pStyle w:val="ListParagraph"/>
      </w:pPr>
    </w:p>
    <w:p w14:paraId="2F97493E" w14:textId="7C0FBA3C" w:rsidR="0095344D" w:rsidRDefault="007A22E3" w:rsidP="007A22E3">
      <w:pPr>
        <w:ind w:hanging="720"/>
      </w:pPr>
      <w:r>
        <w:t>23</w:t>
      </w:r>
      <w:r>
        <w:tab/>
      </w:r>
      <w:r w:rsidR="00BA77D5">
        <w:t>For Parties external to GESAMP, access</w:t>
      </w:r>
      <w:r w:rsidR="00FE759F">
        <w:t>ing</w:t>
      </w:r>
      <w:r w:rsidR="00BA77D5">
        <w:t xml:space="preserve"> the d</w:t>
      </w:r>
      <w:r w:rsidR="0095344D">
        <w:t xml:space="preserve">etailed test results </w:t>
      </w:r>
      <w:r w:rsidR="00BA77D5">
        <w:t>is often</w:t>
      </w:r>
      <w:r w:rsidR="0095344D">
        <w:t xml:space="preserve"> difficult</w:t>
      </w:r>
      <w:r w:rsidR="00BA77D5">
        <w:t>, which restricts the s</w:t>
      </w:r>
      <w:r w:rsidR="0095344D">
        <w:t>ubsequent ability to compare data.</w:t>
      </w:r>
      <w:r w:rsidR="00E66D99">
        <w:t xml:space="preserve"> Access to the non-proprietary data is often reliant on web links and/or email addresses, </w:t>
      </w:r>
      <w:proofErr w:type="gramStart"/>
      <w:r w:rsidR="00C21B0B">
        <w:t xml:space="preserve">a number </w:t>
      </w:r>
      <w:r w:rsidR="00E66D99">
        <w:t>of</w:t>
      </w:r>
      <w:proofErr w:type="gramEnd"/>
      <w:r w:rsidR="00E66D99">
        <w:t xml:space="preserve"> which are no longer valid. A central repository of this data, such as the GISIS database, would ensure that the data remains accessible, independent of the size of the document or access to a manufacturer’s web page.</w:t>
      </w:r>
    </w:p>
    <w:p w14:paraId="3DD2A400" w14:textId="77777777" w:rsidR="0095344D" w:rsidRDefault="0095344D" w:rsidP="007A22E3">
      <w:pPr>
        <w:ind w:hanging="720"/>
      </w:pPr>
    </w:p>
    <w:p w14:paraId="0F6AB29C" w14:textId="696682AF" w:rsidR="00E66D99" w:rsidRDefault="007A22E3" w:rsidP="007A22E3">
      <w:pPr>
        <w:ind w:hanging="720"/>
      </w:pPr>
      <w:r>
        <w:t>24</w:t>
      </w:r>
      <w:r>
        <w:tab/>
      </w:r>
      <w:r w:rsidR="00E66D99">
        <w:t xml:space="preserve">The database produced by DNV is an invaluable source of information but requires expanded information to improve its overall usability. </w:t>
      </w:r>
      <w:r w:rsidR="00FE759F">
        <w:t>A</w:t>
      </w:r>
      <w:r w:rsidR="00E66D99">
        <w:t xml:space="preserve">s discussed in </w:t>
      </w:r>
      <w:r w:rsidR="00E66D99" w:rsidRPr="0009508D">
        <w:rPr>
          <w:highlight w:val="yellow"/>
        </w:rPr>
        <w:t xml:space="preserve">paragraph </w:t>
      </w:r>
      <w:r w:rsidR="00C21B0B" w:rsidRPr="0009508D">
        <w:rPr>
          <w:highlight w:val="yellow"/>
        </w:rPr>
        <w:t>2</w:t>
      </w:r>
      <w:r w:rsidR="0009508D" w:rsidRPr="0009508D">
        <w:rPr>
          <w:highlight w:val="yellow"/>
        </w:rPr>
        <w:t>3</w:t>
      </w:r>
      <w:r w:rsidR="00E66D99">
        <w:t>,</w:t>
      </w:r>
      <w:r w:rsidR="00FE759F">
        <w:t xml:space="preserve"> </w:t>
      </w:r>
      <w:r w:rsidR="00FE759F">
        <w:lastRenderedPageBreak/>
        <w:t>however,</w:t>
      </w:r>
      <w:r w:rsidR="00E66D99">
        <w:t xml:space="preserve"> </w:t>
      </w:r>
      <w:r w:rsidR="00FE759F">
        <w:t xml:space="preserve">its utility </w:t>
      </w:r>
      <w:r w:rsidR="00E66D99">
        <w:t>is reliant on a web link remaining valid over time, and this database may be better housed in a</w:t>
      </w:r>
      <w:r w:rsidR="00FE759F">
        <w:t xml:space="preserve"> stable</w:t>
      </w:r>
      <w:r w:rsidR="00E66D99">
        <w:t xml:space="preserve"> location such as GISIS.</w:t>
      </w:r>
    </w:p>
    <w:p w14:paraId="0B52B5D6" w14:textId="77777777" w:rsidR="00E66D99" w:rsidRDefault="00E66D99" w:rsidP="00E66D99">
      <w:pPr>
        <w:pStyle w:val="ListParagraph"/>
      </w:pPr>
    </w:p>
    <w:p w14:paraId="6AC28A5A" w14:textId="7C0CAF59" w:rsidR="00B22517" w:rsidRDefault="007A22E3" w:rsidP="007A22E3">
      <w:pPr>
        <w:ind w:hanging="720"/>
      </w:pPr>
      <w:r>
        <w:t>25</w:t>
      </w:r>
      <w:r>
        <w:tab/>
      </w:r>
      <w:r w:rsidR="0095344D">
        <w:t>Of the few results</w:t>
      </w:r>
      <w:r w:rsidR="00E66D99">
        <w:t xml:space="preserve"> of measurement of concentrations of DBPs</w:t>
      </w:r>
      <w:r w:rsidR="0095344D">
        <w:t xml:space="preserve"> that have been presented to the Committee, various DBPs have consistently been shown to be released in concentrations </w:t>
      </w:r>
      <w:r w:rsidR="003D48E4">
        <w:t xml:space="preserve">orders of </w:t>
      </w:r>
      <w:r w:rsidR="00C21B0B">
        <w:t xml:space="preserve">magnitude </w:t>
      </w:r>
      <w:r w:rsidR="0095344D">
        <w:t>above those reported in the Type Approval documentation. The impacts of these chemicals, at these higher concentrations, on aquatic ecosystems</w:t>
      </w:r>
      <w:r w:rsidR="005F6EE8">
        <w:t xml:space="preserve"> and human health</w:t>
      </w:r>
      <w:r w:rsidR="0095344D">
        <w:t xml:space="preserve"> remains unknown.</w:t>
      </w:r>
    </w:p>
    <w:p w14:paraId="232EB05D" w14:textId="77777777" w:rsidR="00325F6F" w:rsidRDefault="00325F6F" w:rsidP="007A22E3">
      <w:pPr>
        <w:ind w:hanging="720"/>
      </w:pPr>
    </w:p>
    <w:p w14:paraId="24052565" w14:textId="345CB84E" w:rsidR="0095344D" w:rsidRDefault="007A22E3" w:rsidP="007A22E3">
      <w:pPr>
        <w:ind w:hanging="720"/>
      </w:pPr>
      <w:r>
        <w:t>26</w:t>
      </w:r>
      <w:r>
        <w:tab/>
      </w:r>
      <w:r w:rsidR="0095344D">
        <w:t>Increased awareness of</w:t>
      </w:r>
      <w:r w:rsidR="003D48E4">
        <w:t xml:space="preserve"> DBP</w:t>
      </w:r>
      <w:r w:rsidR="0095344D">
        <w:t xml:space="preserve"> pollution has led to regulatory enforcement of releases into the environment</w:t>
      </w:r>
      <w:r w:rsidR="003455D1">
        <w:t xml:space="preserve"> in various jurisdictions</w:t>
      </w:r>
      <w:r w:rsidR="0095344D">
        <w:t xml:space="preserve">. </w:t>
      </w:r>
      <w:r w:rsidR="00C21B0B">
        <w:t xml:space="preserve">MEPC 84/INF.X (GTN) highlights that discharges of certain DBPs exceed regulatory limits in certain jurisdictions. </w:t>
      </w:r>
      <w:r w:rsidR="0009508D">
        <w:t>Known c</w:t>
      </w:r>
      <w:r w:rsidR="00C21B0B">
        <w:t xml:space="preserve">ontinued discharge of high concentrations of DBPs into ecosystems by ships </w:t>
      </w:r>
      <w:r w:rsidR="0009508D">
        <w:t>may be considered contrary to Article 2.7 of the BWM Convention</w:t>
      </w:r>
      <w:r w:rsidR="00C21B0B">
        <w:t>.</w:t>
      </w:r>
    </w:p>
    <w:p w14:paraId="764928E2" w14:textId="77777777" w:rsidR="006A6204" w:rsidRDefault="006A6204" w:rsidP="000305A3">
      <w:pPr>
        <w:ind w:left="0" w:firstLine="0"/>
        <w:rPr>
          <w:b/>
          <w:bCs/>
        </w:rPr>
      </w:pPr>
    </w:p>
    <w:p w14:paraId="430EE156" w14:textId="6FADB6C2" w:rsidR="000305A3" w:rsidRDefault="000305A3" w:rsidP="000305A3">
      <w:pPr>
        <w:ind w:left="0" w:firstLine="0"/>
      </w:pPr>
      <w:r>
        <w:rPr>
          <w:b/>
          <w:bCs/>
        </w:rPr>
        <w:t>Proposals</w:t>
      </w:r>
    </w:p>
    <w:p w14:paraId="2CE779B5" w14:textId="77777777" w:rsidR="000305A3" w:rsidRDefault="000305A3" w:rsidP="000305A3">
      <w:pPr>
        <w:ind w:left="0" w:firstLine="0"/>
      </w:pPr>
    </w:p>
    <w:p w14:paraId="53FFD6E8" w14:textId="0CB846E5" w:rsidR="000305A3" w:rsidRDefault="007A22E3" w:rsidP="007A22E3">
      <w:pPr>
        <w:ind w:hanging="720"/>
      </w:pPr>
      <w:r>
        <w:t>27</w:t>
      </w:r>
      <w:r>
        <w:tab/>
      </w:r>
      <w:r w:rsidR="000305A3">
        <w:t>The Committee is invited to consider</w:t>
      </w:r>
      <w:r w:rsidR="006A6204">
        <w:t>:</w:t>
      </w:r>
    </w:p>
    <w:p w14:paraId="6D7478D8" w14:textId="6B6013EB" w:rsidR="003455D1" w:rsidRDefault="003455D1" w:rsidP="00496C3A">
      <w:pPr>
        <w:pStyle w:val="ListParagraph"/>
        <w:numPr>
          <w:ilvl w:val="1"/>
          <w:numId w:val="10"/>
        </w:numPr>
        <w:ind w:left="1208" w:hanging="357"/>
      </w:pPr>
      <w:r>
        <w:t>A review of the Procedure</w:t>
      </w:r>
      <w:r w:rsidR="00C21B0B">
        <w:t xml:space="preserve"> (G9)</w:t>
      </w:r>
      <w:r>
        <w:t xml:space="preserve"> to ensure the process is still fit-for-purpose given the advancements in the technologies associated with BWMS since the Procedure was last reviewed</w:t>
      </w:r>
      <w:r w:rsidR="005C4583">
        <w:t xml:space="preserve"> and to ensure </w:t>
      </w:r>
      <w:r w:rsidR="003D48E4">
        <w:t xml:space="preserve">that </w:t>
      </w:r>
      <w:r w:rsidR="005C4583">
        <w:t xml:space="preserve">amendments </w:t>
      </w:r>
      <w:r w:rsidR="003D48E4">
        <w:t>consequential t</w:t>
      </w:r>
      <w:r w:rsidR="005C4583">
        <w:t>o the Review of the Ballast Water Management Convention are implemented</w:t>
      </w:r>
      <w:r>
        <w:t>.</w:t>
      </w:r>
    </w:p>
    <w:p w14:paraId="3A68A99C" w14:textId="77777777" w:rsidR="00531F2E" w:rsidRDefault="00531F2E" w:rsidP="00496C3A">
      <w:pPr>
        <w:pStyle w:val="ListParagraph"/>
        <w:numPr>
          <w:ilvl w:val="1"/>
          <w:numId w:val="10"/>
        </w:numPr>
        <w:ind w:left="1208" w:hanging="357"/>
      </w:pPr>
      <w:r>
        <w:t>Amendment of the BWMS Code to:</w:t>
      </w:r>
    </w:p>
    <w:p w14:paraId="0AC55D45" w14:textId="6626235F" w:rsidR="00531F2E" w:rsidRDefault="00DA4822" w:rsidP="00496C3A">
      <w:pPr>
        <w:pStyle w:val="ListParagraph"/>
        <w:numPr>
          <w:ilvl w:val="2"/>
          <w:numId w:val="10"/>
        </w:numPr>
      </w:pPr>
      <w:r>
        <w:t>E</w:t>
      </w:r>
      <w:r w:rsidR="00531F2E">
        <w:t>xpand the information required within the Type Approval documents</w:t>
      </w:r>
    </w:p>
    <w:p w14:paraId="42AB993C" w14:textId="7D5591AC" w:rsidR="0013294E" w:rsidRDefault="00DA4822" w:rsidP="00496C3A">
      <w:pPr>
        <w:pStyle w:val="ListParagraph"/>
        <w:numPr>
          <w:ilvl w:val="2"/>
          <w:numId w:val="10"/>
        </w:numPr>
      </w:pPr>
      <w:r>
        <w:t>A</w:t>
      </w:r>
      <w:r w:rsidR="00531F2E">
        <w:t>dd the requirement that the Administration provide a detailed response to the recommendations of GESAMP in the Final Approval to the Type Approval Report</w:t>
      </w:r>
    </w:p>
    <w:p w14:paraId="0FC929EE" w14:textId="77777777" w:rsidR="005C4583" w:rsidRDefault="005C4583" w:rsidP="00496C3A">
      <w:pPr>
        <w:pStyle w:val="ListParagraph"/>
        <w:numPr>
          <w:ilvl w:val="1"/>
          <w:numId w:val="10"/>
        </w:numPr>
        <w:ind w:left="1208" w:hanging="357"/>
      </w:pPr>
      <w:r>
        <w:t>Continue to gather information on the formation and range of DBPs produced by BWMS, including:</w:t>
      </w:r>
    </w:p>
    <w:p w14:paraId="24A69CAB" w14:textId="4D93C359" w:rsidR="00531F2E" w:rsidRDefault="00531F2E" w:rsidP="00496C3A">
      <w:pPr>
        <w:pStyle w:val="ListParagraph"/>
        <w:numPr>
          <w:ilvl w:val="2"/>
          <w:numId w:val="10"/>
        </w:numPr>
      </w:pPr>
      <w:r>
        <w:t>Review</w:t>
      </w:r>
      <w:r w:rsidR="005C4583">
        <w:t>ing</w:t>
      </w:r>
      <w:r>
        <w:t xml:space="preserve"> the compounds used to augment test water to determine their interrelationship with the formation of DBPs </w:t>
      </w:r>
    </w:p>
    <w:p w14:paraId="0147565F" w14:textId="7676340E" w:rsidR="003455D1" w:rsidRDefault="005C4583" w:rsidP="00496C3A">
      <w:pPr>
        <w:pStyle w:val="ListParagraph"/>
        <w:numPr>
          <w:ilvl w:val="2"/>
          <w:numId w:val="10"/>
        </w:numPr>
      </w:pPr>
      <w:r>
        <w:t>T</w:t>
      </w:r>
      <w:r w:rsidR="003455D1">
        <w:t>he production of DBPs in relation to the potential impacts of contingency measures used for malfunctioning BWMS and under challenging water quality conditions.</w:t>
      </w:r>
    </w:p>
    <w:p w14:paraId="098292DB" w14:textId="2117597B" w:rsidR="00AB66C8" w:rsidRDefault="00AB66C8" w:rsidP="00496C3A">
      <w:pPr>
        <w:pStyle w:val="ListParagraph"/>
        <w:numPr>
          <w:ilvl w:val="2"/>
          <w:numId w:val="10"/>
        </w:numPr>
      </w:pPr>
      <w:r>
        <w:t>Support</w:t>
      </w:r>
      <w:r w:rsidR="009F4A15">
        <w:t>ing the</w:t>
      </w:r>
      <w:r>
        <w:t xml:space="preserve"> GESAMP</w:t>
      </w:r>
      <w:r w:rsidR="005C4583">
        <w:t>-</w:t>
      </w:r>
      <w:r w:rsidR="009F4A15">
        <w:t>BWWG</w:t>
      </w:r>
      <w:r>
        <w:t xml:space="preserve"> to ensure</w:t>
      </w:r>
      <w:r w:rsidR="009F4A15">
        <w:t xml:space="preserve"> that</w:t>
      </w:r>
      <w:r>
        <w:t xml:space="preserve"> the database of chemicals commonly found in discharging ballast water is kept up to date.</w:t>
      </w:r>
    </w:p>
    <w:p w14:paraId="7DD511D8" w14:textId="238F9306" w:rsidR="00531F2E" w:rsidRDefault="00531F2E" w:rsidP="00496C3A">
      <w:pPr>
        <w:pStyle w:val="ListParagraph"/>
        <w:numPr>
          <w:ilvl w:val="2"/>
          <w:numId w:val="10"/>
        </w:numPr>
      </w:pPr>
      <w:r>
        <w:t>Review</w:t>
      </w:r>
      <w:r w:rsidR="005C4583">
        <w:t>ing</w:t>
      </w:r>
      <w:r>
        <w:t xml:space="preserve"> the potential for the creation of a database (potentially hosted on GISIS) for the deposition of type-approval non-proprietary data as a safeguard against the loss of access to webpages and/or emails as currently listed in Type Approval documents</w:t>
      </w:r>
      <w:r w:rsidR="005C4583">
        <w:t>.</w:t>
      </w:r>
    </w:p>
    <w:p w14:paraId="173364B7" w14:textId="42094108" w:rsidR="005C4583" w:rsidRDefault="005C4583" w:rsidP="00496C3A">
      <w:pPr>
        <w:pStyle w:val="ListParagraph"/>
        <w:numPr>
          <w:ilvl w:val="2"/>
          <w:numId w:val="10"/>
        </w:numPr>
      </w:pPr>
      <w:r>
        <w:t>Considering the requirement for ongoing monitoring of levels of DBPs in discharging ballast water in real world environments through sampling at commissioning testing and/or at intermediate and/or renewal surveys.</w:t>
      </w:r>
    </w:p>
    <w:p w14:paraId="360FE784" w14:textId="77777777" w:rsidR="0009508D" w:rsidRDefault="0009508D" w:rsidP="0009508D"/>
    <w:p w14:paraId="4A363D3A" w14:textId="138D8364" w:rsidR="00764098" w:rsidRDefault="007A22E3" w:rsidP="007A22E3">
      <w:pPr>
        <w:ind w:hanging="720"/>
      </w:pPr>
      <w:r>
        <w:t>28</w:t>
      </w:r>
      <w:r>
        <w:tab/>
      </w:r>
      <w:r w:rsidR="00E51DD3">
        <w:t>Expanding the scope of existing o</w:t>
      </w:r>
      <w:r w:rsidR="00764098">
        <w:t xml:space="preserve">bjectives </w:t>
      </w:r>
      <w:r w:rsidR="00E51DD3">
        <w:t xml:space="preserve">included </w:t>
      </w:r>
      <w:r w:rsidR="00764098">
        <w:t xml:space="preserve">in </w:t>
      </w:r>
      <w:r w:rsidR="00E51DD3">
        <w:t>Annex 2 to document MEPC 84/4/X on</w:t>
      </w:r>
      <w:r w:rsidR="00764098">
        <w:t xml:space="preserve"> the Review of the BWM Convention</w:t>
      </w:r>
      <w:r w:rsidR="00E51DD3">
        <w:t xml:space="preserve"> that have</w:t>
      </w:r>
      <w:r w:rsidR="00764098">
        <w:t xml:space="preserve"> yet to be started, </w:t>
      </w:r>
      <w:r w:rsidR="00E51DD3">
        <w:t>by adding the sub-points provided below:</w:t>
      </w:r>
    </w:p>
    <w:p w14:paraId="35FBF23F" w14:textId="61547C76" w:rsidR="0092776A" w:rsidRDefault="0092776A" w:rsidP="0009508D">
      <w:pPr>
        <w:pStyle w:val="ListParagraph"/>
        <w:numPr>
          <w:ilvl w:val="2"/>
          <w:numId w:val="10"/>
        </w:numPr>
      </w:pPr>
      <w:r>
        <w:t>Objective 77 (use of verified analysis methods; BWM.2/Circ.70/Rev.1):</w:t>
      </w:r>
    </w:p>
    <w:p w14:paraId="57A293CC" w14:textId="64E05797" w:rsidR="0092776A" w:rsidRDefault="0092776A" w:rsidP="0009508D">
      <w:pPr>
        <w:pStyle w:val="ListParagraph"/>
        <w:numPr>
          <w:ilvl w:val="3"/>
          <w:numId w:val="10"/>
        </w:numPr>
      </w:pPr>
      <w:r>
        <w:t>Develop guidelines and/or methodology for standardised collection and analysis of discharging ballast water for measurement of DBPs</w:t>
      </w:r>
      <w:r w:rsidR="005C4583">
        <w:t>.</w:t>
      </w:r>
      <w:r>
        <w:t xml:space="preserve"> </w:t>
      </w:r>
    </w:p>
    <w:p w14:paraId="533177B5" w14:textId="041B94AB" w:rsidR="00C4122D" w:rsidRDefault="00C4122D" w:rsidP="0009508D">
      <w:pPr>
        <w:pStyle w:val="ListParagraph"/>
        <w:numPr>
          <w:ilvl w:val="2"/>
          <w:numId w:val="10"/>
        </w:numPr>
      </w:pPr>
      <w:r>
        <w:t>Objective 79 (New guidance to establish review processes of type approvals):</w:t>
      </w:r>
    </w:p>
    <w:p w14:paraId="2D0A7AB3" w14:textId="5B4D72CE" w:rsidR="00C4122D" w:rsidRDefault="00C4122D" w:rsidP="0009508D">
      <w:pPr>
        <w:pStyle w:val="ListParagraph"/>
        <w:numPr>
          <w:ilvl w:val="3"/>
          <w:numId w:val="10"/>
        </w:numPr>
      </w:pPr>
      <w:r>
        <w:lastRenderedPageBreak/>
        <w:t xml:space="preserve">Undertake a review of the MAMPEC modelling within the Procedure </w:t>
      </w:r>
      <w:r w:rsidR="005C4583">
        <w:t xml:space="preserve">(G9) </w:t>
      </w:r>
      <w:r>
        <w:t xml:space="preserve">with the data </w:t>
      </w:r>
      <w:r w:rsidR="005C4583">
        <w:t xml:space="preserve">now available </w:t>
      </w:r>
      <w:r>
        <w:t>on concentrations of DBPs</w:t>
      </w:r>
      <w:r w:rsidR="005C4583">
        <w:t xml:space="preserve"> produced by BWMS.</w:t>
      </w:r>
    </w:p>
    <w:p w14:paraId="7438842C" w14:textId="717C5882" w:rsidR="00E82615" w:rsidRDefault="0006287C" w:rsidP="0009508D">
      <w:pPr>
        <w:pStyle w:val="ListParagraph"/>
        <w:numPr>
          <w:ilvl w:val="3"/>
          <w:numId w:val="10"/>
        </w:numPr>
      </w:pPr>
      <w:r>
        <w:t>Include the requirement for Administration</w:t>
      </w:r>
      <w:r w:rsidR="005F62AE">
        <w:t>s</w:t>
      </w:r>
      <w:r>
        <w:t xml:space="preserve"> to specifically detail the </w:t>
      </w:r>
      <w:r w:rsidR="00E82615">
        <w:t>responses to the Final Approval recommendations by GESAMP in the Type Approval documentation.</w:t>
      </w:r>
    </w:p>
    <w:p w14:paraId="0F693800" w14:textId="77777777" w:rsidR="000305A3" w:rsidRDefault="000305A3" w:rsidP="004846F9">
      <w:pPr>
        <w:ind w:left="0" w:firstLine="0"/>
        <w:rPr>
          <w:b/>
          <w:bCs/>
        </w:rPr>
      </w:pPr>
    </w:p>
    <w:p w14:paraId="415F06C1" w14:textId="18E47500" w:rsidR="004846F9" w:rsidRDefault="004846F9" w:rsidP="004846F9">
      <w:pPr>
        <w:ind w:left="0" w:firstLine="0"/>
      </w:pPr>
      <w:r w:rsidRPr="004846F9">
        <w:rPr>
          <w:b/>
          <w:bCs/>
        </w:rPr>
        <w:t>Action requested of the</w:t>
      </w:r>
      <w:r>
        <w:t xml:space="preserve"> </w:t>
      </w:r>
      <w:r w:rsidRPr="004846F9">
        <w:rPr>
          <w:b/>
          <w:bCs/>
        </w:rPr>
        <w:t>Committee</w:t>
      </w:r>
    </w:p>
    <w:p w14:paraId="2D28C1F6" w14:textId="77777777" w:rsidR="004846F9" w:rsidRDefault="004846F9" w:rsidP="004846F9">
      <w:pPr>
        <w:ind w:left="0" w:firstLine="0"/>
      </w:pPr>
    </w:p>
    <w:p w14:paraId="3015683E" w14:textId="233F127E" w:rsidR="00F97AE8" w:rsidRDefault="000305A3" w:rsidP="007A22E3">
      <w:pPr>
        <w:pStyle w:val="ListParagraph"/>
        <w:numPr>
          <w:ilvl w:val="0"/>
          <w:numId w:val="12"/>
        </w:numPr>
      </w:pPr>
      <w:r>
        <w:t>The Committee is invited to consider the proposals in paragraph</w:t>
      </w:r>
      <w:r w:rsidR="00E82615">
        <w:t>s</w:t>
      </w:r>
      <w:r>
        <w:t xml:space="preserve"> </w:t>
      </w:r>
      <w:r w:rsidR="005C4583" w:rsidRPr="007A22E3">
        <w:rPr>
          <w:highlight w:val="yellow"/>
        </w:rPr>
        <w:t>2</w:t>
      </w:r>
      <w:r w:rsidR="007A22E3">
        <w:rPr>
          <w:highlight w:val="yellow"/>
        </w:rPr>
        <w:t>7</w:t>
      </w:r>
      <w:r w:rsidR="005C4583" w:rsidRPr="007A22E3">
        <w:rPr>
          <w:highlight w:val="yellow"/>
        </w:rPr>
        <w:t>-2</w:t>
      </w:r>
      <w:r w:rsidR="007A22E3" w:rsidRPr="007A22E3">
        <w:rPr>
          <w:highlight w:val="yellow"/>
        </w:rPr>
        <w:t>8</w:t>
      </w:r>
      <w:r>
        <w:t xml:space="preserve"> and </w:t>
      </w:r>
      <w:proofErr w:type="gramStart"/>
      <w:r>
        <w:t>take action</w:t>
      </w:r>
      <w:proofErr w:type="gramEnd"/>
      <w:r>
        <w:t xml:space="preserve"> as appropriate.</w:t>
      </w:r>
    </w:p>
    <w:sectPr w:rsidR="00F97AE8" w:rsidSect="00550748">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418" w:left="1418"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92C8" w14:textId="77777777" w:rsidR="00E427B0" w:rsidRDefault="00E427B0">
      <w:r>
        <w:separator/>
      </w:r>
    </w:p>
  </w:endnote>
  <w:endnote w:type="continuationSeparator" w:id="0">
    <w:p w14:paraId="5AE66031" w14:textId="77777777" w:rsidR="00E427B0" w:rsidRDefault="00E4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233" w14:textId="7581D544" w:rsidR="00736183" w:rsidRDefault="004846F9" w:rsidP="00736183">
    <w:pPr>
      <w:pStyle w:val="Footer"/>
    </w:pPr>
    <w:r>
      <w:rPr>
        <w:noProof/>
      </w:rPr>
      <mc:AlternateContent>
        <mc:Choice Requires="wps">
          <w:drawing>
            <wp:anchor distT="0" distB="0" distL="0" distR="0" simplePos="0" relativeHeight="251662336" behindDoc="0" locked="0" layoutInCell="1" allowOverlap="1" wp14:anchorId="10DF8C70" wp14:editId="306BA395">
              <wp:simplePos x="635" y="635"/>
              <wp:positionH relativeFrom="page">
                <wp:align>center</wp:align>
              </wp:positionH>
              <wp:positionV relativeFrom="page">
                <wp:align>bottom</wp:align>
              </wp:positionV>
              <wp:extent cx="622300" cy="376555"/>
              <wp:effectExtent l="0" t="0" r="6350" b="0"/>
              <wp:wrapNone/>
              <wp:docPr id="20894639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8A4A42" w14:textId="6E4FBB50"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F8C7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28A4A42" w14:textId="6E4FBB50"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p w14:paraId="2D77DD08" w14:textId="1F04E1DA" w:rsidR="00736183" w:rsidRPr="000D08F2" w:rsidRDefault="00736183" w:rsidP="00736183">
    <w:pPr>
      <w:pStyle w:val="Footer"/>
      <w:pBdr>
        <w:top w:val="single" w:sz="4" w:space="1" w:color="auto"/>
      </w:pBdr>
    </w:pPr>
    <w:r>
      <w:rPr>
        <w:lang w:val="en-US"/>
      </w:rPr>
      <w:fldChar w:fldCharType="begin"/>
    </w:r>
    <w:r>
      <w:rPr>
        <w:lang w:val="en-US"/>
      </w:rPr>
      <w:instrText xml:space="preserve"> FILENAME   \* MERGEFORMAT </w:instrText>
    </w:r>
    <w:r>
      <w:rPr>
        <w:lang w:val="en-US"/>
      </w:rPr>
      <w:fldChar w:fldCharType="separate"/>
    </w:r>
    <w:r w:rsidR="00CE7611">
      <w:rPr>
        <w:noProof/>
        <w:lang w:val="en-US"/>
      </w:rPr>
      <w:t>MEPC 84 _4_X Results of DBP analyses and recommendations for BWWG</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E794" w14:textId="4733DEC4" w:rsidR="00736183" w:rsidRDefault="004846F9" w:rsidP="00736183">
    <w:pPr>
      <w:pStyle w:val="Footer"/>
    </w:pPr>
    <w:r>
      <w:rPr>
        <w:noProof/>
      </w:rPr>
      <mc:AlternateContent>
        <mc:Choice Requires="wps">
          <w:drawing>
            <wp:anchor distT="0" distB="0" distL="0" distR="0" simplePos="0" relativeHeight="251663360" behindDoc="0" locked="0" layoutInCell="1" allowOverlap="1" wp14:anchorId="2BF5F047" wp14:editId="276A028B">
              <wp:simplePos x="635" y="635"/>
              <wp:positionH relativeFrom="page">
                <wp:align>center</wp:align>
              </wp:positionH>
              <wp:positionV relativeFrom="page">
                <wp:align>bottom</wp:align>
              </wp:positionV>
              <wp:extent cx="622300" cy="376555"/>
              <wp:effectExtent l="0" t="0" r="6350" b="0"/>
              <wp:wrapNone/>
              <wp:docPr id="186021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DC3D74" w14:textId="542E528C"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5F04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8DC3D74" w14:textId="542E528C"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p w14:paraId="4F120BEE" w14:textId="0ECE95E3" w:rsidR="00736183" w:rsidRPr="000D08F2" w:rsidRDefault="00736183" w:rsidP="00736183">
    <w:pPr>
      <w:pStyle w:val="Footer"/>
      <w:pBdr>
        <w:top w:val="single" w:sz="4" w:space="1" w:color="auto"/>
      </w:pBdr>
    </w:pPr>
    <w:r>
      <w:rPr>
        <w:lang w:val="en-US"/>
      </w:rPr>
      <w:fldChar w:fldCharType="begin"/>
    </w:r>
    <w:r>
      <w:rPr>
        <w:lang w:val="en-US"/>
      </w:rPr>
      <w:instrText xml:space="preserve"> FILENAME   \* MERGEFORMAT </w:instrText>
    </w:r>
    <w:r>
      <w:rPr>
        <w:lang w:val="en-US"/>
      </w:rPr>
      <w:fldChar w:fldCharType="separate"/>
    </w:r>
    <w:r w:rsidR="00CE7611">
      <w:rPr>
        <w:noProof/>
        <w:lang w:val="en-US"/>
      </w:rPr>
      <w:t>MEPC 84 _4_X Results of DBP analyses and recommendations for BWWG</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2113" w14:textId="107FDFE6" w:rsidR="00B21952" w:rsidRPr="00957D9E" w:rsidRDefault="004846F9" w:rsidP="00B21952">
    <w:pPr>
      <w:pStyle w:val="Footer"/>
      <w:rPr>
        <w:szCs w:val="18"/>
      </w:rPr>
    </w:pPr>
    <w:bookmarkStart w:id="13" w:name="_Hlk30152152"/>
    <w:r>
      <w:rPr>
        <w:noProof/>
        <w:szCs w:val="18"/>
      </w:rPr>
      <mc:AlternateContent>
        <mc:Choice Requires="wps">
          <w:drawing>
            <wp:anchor distT="0" distB="0" distL="0" distR="0" simplePos="0" relativeHeight="251661312" behindDoc="0" locked="0" layoutInCell="1" allowOverlap="1" wp14:anchorId="14BD3228" wp14:editId="64C9A39C">
              <wp:simplePos x="901700" y="9867900"/>
              <wp:positionH relativeFrom="page">
                <wp:align>center</wp:align>
              </wp:positionH>
              <wp:positionV relativeFrom="page">
                <wp:align>bottom</wp:align>
              </wp:positionV>
              <wp:extent cx="622300" cy="376555"/>
              <wp:effectExtent l="0" t="0" r="6350" b="0"/>
              <wp:wrapNone/>
              <wp:docPr id="713173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D29CE9" w14:textId="1DDA609A"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D322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FD29CE9" w14:textId="1DDA609A"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p w14:paraId="6F18FC76" w14:textId="39E08337" w:rsidR="00B21952" w:rsidRDefault="00B21952" w:rsidP="00A927D9">
    <w:pPr>
      <w:pStyle w:val="Footer"/>
      <w:pBdr>
        <w:top w:val="single" w:sz="4" w:space="1" w:color="auto"/>
      </w:pBdr>
      <w:rPr>
        <w:szCs w:val="18"/>
        <w:lang w:val="en-US"/>
      </w:rPr>
    </w:pPr>
    <w:r w:rsidRPr="00957D9E">
      <w:rPr>
        <w:szCs w:val="18"/>
        <w:lang w:val="en-US"/>
      </w:rPr>
      <w:fldChar w:fldCharType="begin"/>
    </w:r>
    <w:r w:rsidRPr="00957D9E">
      <w:rPr>
        <w:szCs w:val="18"/>
        <w:lang w:val="en-US"/>
      </w:rPr>
      <w:instrText xml:space="preserve"> FILENAME   \* MERGEFORMAT </w:instrText>
    </w:r>
    <w:r w:rsidRPr="00957D9E">
      <w:rPr>
        <w:szCs w:val="18"/>
        <w:lang w:val="en-US"/>
      </w:rPr>
      <w:fldChar w:fldCharType="separate"/>
    </w:r>
    <w:r w:rsidR="00CE7611">
      <w:rPr>
        <w:noProof/>
        <w:szCs w:val="18"/>
        <w:lang w:val="en-US"/>
      </w:rPr>
      <w:t>MEPC 84 _4_X Results of DBP analyses and recommendations for BWWG</w:t>
    </w:r>
    <w:r w:rsidRPr="00957D9E">
      <w:rPr>
        <w:szCs w:val="18"/>
        <w:lang w:val="en-US"/>
      </w:rPr>
      <w:fldChar w:fldCharType="end"/>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0D82" w14:textId="77777777" w:rsidR="00E427B0" w:rsidRDefault="00E427B0">
      <w:r>
        <w:separator/>
      </w:r>
    </w:p>
  </w:footnote>
  <w:footnote w:type="continuationSeparator" w:id="0">
    <w:p w14:paraId="57BC9706" w14:textId="77777777" w:rsidR="00E427B0" w:rsidRDefault="00E4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06EC" w14:textId="006AA02B" w:rsidR="008B3776" w:rsidRDefault="004846F9">
    <w:pPr>
      <w:pStyle w:val="Header"/>
    </w:pPr>
    <w:r>
      <w:rPr>
        <w:noProof/>
      </w:rPr>
      <mc:AlternateContent>
        <mc:Choice Requires="wps">
          <w:drawing>
            <wp:anchor distT="0" distB="0" distL="0" distR="0" simplePos="0" relativeHeight="251659264" behindDoc="0" locked="0" layoutInCell="1" allowOverlap="1" wp14:anchorId="158F4E64" wp14:editId="16F01A48">
              <wp:simplePos x="635" y="635"/>
              <wp:positionH relativeFrom="page">
                <wp:align>center</wp:align>
              </wp:positionH>
              <wp:positionV relativeFrom="page">
                <wp:align>top</wp:align>
              </wp:positionV>
              <wp:extent cx="622300" cy="376555"/>
              <wp:effectExtent l="0" t="0" r="6350" b="4445"/>
              <wp:wrapNone/>
              <wp:docPr id="8527090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40326A" w14:textId="3BDB0704"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F4E6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A40326A" w14:textId="3BDB0704"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p w14:paraId="78A75682" w14:textId="60AF7593" w:rsidR="008B3776" w:rsidRDefault="00736183">
    <w:pPr>
      <w:pStyle w:val="Header"/>
      <w:pBdr>
        <w:bottom w:val="single" w:sz="4" w:space="1" w:color="auto"/>
      </w:pBdr>
      <w:rPr>
        <w:rStyle w:val="PageNumber"/>
      </w:rPr>
    </w:pPr>
    <w:r>
      <w:t>P</w:t>
    </w:r>
    <w:r w:rsidR="008B3776">
      <w:t xml:space="preserve">age </w:t>
    </w:r>
    <w:r w:rsidR="008B3776">
      <w:rPr>
        <w:rStyle w:val="PageNumber"/>
      </w:rPr>
      <w:fldChar w:fldCharType="begin"/>
    </w:r>
    <w:r w:rsidR="008B3776">
      <w:rPr>
        <w:rStyle w:val="PageNumber"/>
      </w:rPr>
      <w:instrText xml:space="preserve"> PAGE </w:instrText>
    </w:r>
    <w:r w:rsidR="008B3776">
      <w:rPr>
        <w:rStyle w:val="PageNumber"/>
      </w:rPr>
      <w:fldChar w:fldCharType="separate"/>
    </w:r>
    <w:r w:rsidR="008B3776">
      <w:rPr>
        <w:rStyle w:val="PageNumber"/>
        <w:noProof/>
      </w:rPr>
      <w:t>2</w:t>
    </w:r>
    <w:r w:rsidR="008B3776">
      <w:rPr>
        <w:rStyle w:val="PageNumber"/>
      </w:rPr>
      <w:fldChar w:fldCharType="end"/>
    </w:r>
  </w:p>
  <w:p w14:paraId="46AEC412" w14:textId="77777777" w:rsidR="008B3776" w:rsidRDefault="008B3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846" w14:textId="1F3BFA20" w:rsidR="008B3776" w:rsidRDefault="004846F9">
    <w:pPr>
      <w:pStyle w:val="Header"/>
      <w:jc w:val="right"/>
    </w:pPr>
    <w:r>
      <w:rPr>
        <w:noProof/>
      </w:rPr>
      <mc:AlternateContent>
        <mc:Choice Requires="wps">
          <w:drawing>
            <wp:anchor distT="0" distB="0" distL="0" distR="0" simplePos="0" relativeHeight="251660288" behindDoc="0" locked="0" layoutInCell="1" allowOverlap="1" wp14:anchorId="5AF74F4D" wp14:editId="7EAEE45A">
              <wp:simplePos x="635" y="635"/>
              <wp:positionH relativeFrom="page">
                <wp:align>center</wp:align>
              </wp:positionH>
              <wp:positionV relativeFrom="page">
                <wp:align>top</wp:align>
              </wp:positionV>
              <wp:extent cx="622300" cy="376555"/>
              <wp:effectExtent l="0" t="0" r="6350" b="4445"/>
              <wp:wrapNone/>
              <wp:docPr id="9214161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A49C3F" w14:textId="670ACA11"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74F4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5A49C3F" w14:textId="670ACA11"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p w14:paraId="5890F56B" w14:textId="020C0B97" w:rsidR="008B3776" w:rsidRDefault="00736183">
    <w:pPr>
      <w:pStyle w:val="Header"/>
      <w:pBdr>
        <w:bottom w:val="single" w:sz="4" w:space="1" w:color="auto"/>
      </w:pBdr>
      <w:jc w:val="right"/>
      <w:rPr>
        <w:rStyle w:val="PageNumber"/>
      </w:rPr>
    </w:pPr>
    <w:r>
      <w:t>P</w:t>
    </w:r>
    <w:r w:rsidR="008B3776">
      <w:t xml:space="preserve">age </w:t>
    </w:r>
    <w:r w:rsidR="008B3776">
      <w:rPr>
        <w:rStyle w:val="PageNumber"/>
      </w:rPr>
      <w:fldChar w:fldCharType="begin"/>
    </w:r>
    <w:r w:rsidR="008B3776">
      <w:rPr>
        <w:rStyle w:val="PageNumber"/>
      </w:rPr>
      <w:instrText xml:space="preserve"> PAGE </w:instrText>
    </w:r>
    <w:r w:rsidR="008B3776">
      <w:rPr>
        <w:rStyle w:val="PageNumber"/>
      </w:rPr>
      <w:fldChar w:fldCharType="separate"/>
    </w:r>
    <w:r w:rsidR="008B3776">
      <w:rPr>
        <w:rStyle w:val="PageNumber"/>
        <w:noProof/>
      </w:rPr>
      <w:t>1</w:t>
    </w:r>
    <w:r w:rsidR="008B3776">
      <w:rPr>
        <w:rStyle w:val="PageNumber"/>
      </w:rPr>
      <w:fldChar w:fldCharType="end"/>
    </w:r>
  </w:p>
  <w:p w14:paraId="4C23E85B" w14:textId="77777777" w:rsidR="008B3776" w:rsidRDefault="008B3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BB9A" w14:textId="11A201A8" w:rsidR="000E2061" w:rsidRDefault="004846F9">
    <w:pPr>
      <w:pStyle w:val="Header"/>
    </w:pPr>
    <w:r>
      <w:rPr>
        <w:noProof/>
      </w:rPr>
      <mc:AlternateContent>
        <mc:Choice Requires="wps">
          <w:drawing>
            <wp:anchor distT="0" distB="0" distL="0" distR="0" simplePos="0" relativeHeight="251658240" behindDoc="0" locked="0" layoutInCell="1" allowOverlap="1" wp14:anchorId="0F264873" wp14:editId="0ABA81D7">
              <wp:simplePos x="901700" y="539750"/>
              <wp:positionH relativeFrom="page">
                <wp:align>center</wp:align>
              </wp:positionH>
              <wp:positionV relativeFrom="page">
                <wp:align>top</wp:align>
              </wp:positionV>
              <wp:extent cx="622300" cy="376555"/>
              <wp:effectExtent l="0" t="0" r="6350" b="4445"/>
              <wp:wrapNone/>
              <wp:docPr id="19438075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A5BCBF" w14:textId="4A46A7B4"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6487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DA5BCBF" w14:textId="4A46A7B4" w:rsidR="004846F9" w:rsidRPr="004846F9" w:rsidRDefault="004846F9" w:rsidP="004846F9">
                    <w:pPr>
                      <w:rPr>
                        <w:rFonts w:ascii="Aptos" w:eastAsia="Aptos" w:hAnsi="Aptos" w:cs="Aptos"/>
                        <w:noProof/>
                        <w:color w:val="FF0000"/>
                        <w:sz w:val="24"/>
                        <w:szCs w:val="24"/>
                      </w:rPr>
                    </w:pPr>
                    <w:r w:rsidRPr="004846F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0A44F5"/>
    <w:multiLevelType w:val="hybridMultilevel"/>
    <w:tmpl w:val="64F45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72780B"/>
    <w:multiLevelType w:val="hybridMultilevel"/>
    <w:tmpl w:val="C8EE052E"/>
    <w:lvl w:ilvl="0" w:tplc="2AB2345A">
      <w:start w:val="27"/>
      <w:numFmt w:val="decimal"/>
      <w:lvlText w:val="%1"/>
      <w:lvlJc w:val="left"/>
      <w:pPr>
        <w:ind w:left="491" w:hanging="360"/>
      </w:pPr>
      <w:rPr>
        <w:rFonts w:hint="default"/>
      </w:rPr>
    </w:lvl>
    <w:lvl w:ilvl="1" w:tplc="0C090019" w:tentative="1">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9" w15:restartNumberingAfterBreak="0">
    <w:nsid w:val="384321D6"/>
    <w:multiLevelType w:val="hybridMultilevel"/>
    <w:tmpl w:val="AD5E9F70"/>
    <w:lvl w:ilvl="0" w:tplc="8F367E5C">
      <w:start w:val="1"/>
      <w:numFmt w:val="decimal"/>
      <w:lvlText w:val="%1"/>
      <w:lvlJc w:val="left"/>
      <w:pPr>
        <w:ind w:left="1842" w:hanging="850"/>
      </w:pPr>
      <w:rPr>
        <w:rFonts w:hint="default"/>
      </w:rPr>
    </w:lvl>
    <w:lvl w:ilvl="1" w:tplc="DE94993A">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6B0A79"/>
    <w:multiLevelType w:val="hybridMultilevel"/>
    <w:tmpl w:val="34DA1C10"/>
    <w:lvl w:ilvl="0" w:tplc="4CE660C0">
      <w:start w:val="15"/>
      <w:numFmt w:val="decimal"/>
      <w:lvlText w:val="%1"/>
      <w:lvlJc w:val="left"/>
      <w:pPr>
        <w:ind w:left="1352" w:hanging="360"/>
      </w:pPr>
      <w:rPr>
        <w:rFonts w:hint="default"/>
      </w:rPr>
    </w:lvl>
    <w:lvl w:ilvl="1" w:tplc="0C090019">
      <w:start w:val="1"/>
      <w:numFmt w:val="lowerLetter"/>
      <w:lvlText w:val="%2."/>
      <w:lvlJc w:val="left"/>
      <w:pPr>
        <w:ind w:left="2072" w:hanging="360"/>
      </w:pPr>
    </w:lvl>
    <w:lvl w:ilvl="2" w:tplc="0C09001B">
      <w:start w:val="1"/>
      <w:numFmt w:val="lowerRoman"/>
      <w:lvlText w:val="%3."/>
      <w:lvlJc w:val="right"/>
      <w:pPr>
        <w:ind w:left="1881" w:hanging="180"/>
      </w:pPr>
    </w:lvl>
    <w:lvl w:ilvl="3" w:tplc="0C09000F">
      <w:start w:val="1"/>
      <w:numFmt w:val="decimal"/>
      <w:lvlText w:val="%4."/>
      <w:lvlJc w:val="left"/>
      <w:pPr>
        <w:ind w:left="2061"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1" w15:restartNumberingAfterBreak="0">
    <w:nsid w:val="74E6643F"/>
    <w:multiLevelType w:val="hybridMultilevel"/>
    <w:tmpl w:val="CAA490FA"/>
    <w:lvl w:ilvl="0" w:tplc="DD7EC2BA">
      <w:start w:val="29"/>
      <w:numFmt w:val="decimal"/>
      <w:lvlText w:val="%1"/>
      <w:lvlJc w:val="left"/>
      <w:pPr>
        <w:ind w:left="491" w:hanging="360"/>
      </w:pPr>
      <w:rPr>
        <w:rFonts w:hint="default"/>
      </w:rPr>
    </w:lvl>
    <w:lvl w:ilvl="1" w:tplc="0C090019" w:tentative="1">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num w:numId="1" w16cid:durableId="803087070">
    <w:abstractNumId w:val="6"/>
  </w:num>
  <w:num w:numId="2" w16cid:durableId="1414938729">
    <w:abstractNumId w:val="4"/>
  </w:num>
  <w:num w:numId="3" w16cid:durableId="1002007778">
    <w:abstractNumId w:val="3"/>
  </w:num>
  <w:num w:numId="4" w16cid:durableId="1048333340">
    <w:abstractNumId w:val="2"/>
  </w:num>
  <w:num w:numId="5" w16cid:durableId="1927690958">
    <w:abstractNumId w:val="1"/>
  </w:num>
  <w:num w:numId="6" w16cid:durableId="1400442728">
    <w:abstractNumId w:val="5"/>
  </w:num>
  <w:num w:numId="7" w16cid:durableId="1964388327">
    <w:abstractNumId w:val="0"/>
  </w:num>
  <w:num w:numId="8" w16cid:durableId="399596416">
    <w:abstractNumId w:val="7"/>
  </w:num>
  <w:num w:numId="9" w16cid:durableId="108817713">
    <w:abstractNumId w:val="9"/>
  </w:num>
  <w:num w:numId="10" w16cid:durableId="16585169">
    <w:abstractNumId w:val="10"/>
  </w:num>
  <w:num w:numId="11" w16cid:durableId="1225292107">
    <w:abstractNumId w:val="8"/>
  </w:num>
  <w:num w:numId="12" w16cid:durableId="1412895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132F8"/>
    <w:rsid w:val="000149DD"/>
    <w:rsid w:val="000305A3"/>
    <w:rsid w:val="000505BB"/>
    <w:rsid w:val="0006287C"/>
    <w:rsid w:val="00063EC7"/>
    <w:rsid w:val="0006739E"/>
    <w:rsid w:val="00087996"/>
    <w:rsid w:val="00091B36"/>
    <w:rsid w:val="0009508D"/>
    <w:rsid w:val="00095862"/>
    <w:rsid w:val="000A6612"/>
    <w:rsid w:val="000C3822"/>
    <w:rsid w:val="000C75DB"/>
    <w:rsid w:val="000D08F2"/>
    <w:rsid w:val="000D21A9"/>
    <w:rsid w:val="000E19A0"/>
    <w:rsid w:val="000E2061"/>
    <w:rsid w:val="000E3188"/>
    <w:rsid w:val="000F0ECD"/>
    <w:rsid w:val="001016B1"/>
    <w:rsid w:val="00113125"/>
    <w:rsid w:val="0013294E"/>
    <w:rsid w:val="001346CF"/>
    <w:rsid w:val="00134D26"/>
    <w:rsid w:val="00135842"/>
    <w:rsid w:val="00137425"/>
    <w:rsid w:val="001964DC"/>
    <w:rsid w:val="001C42BF"/>
    <w:rsid w:val="001C439A"/>
    <w:rsid w:val="001C6B26"/>
    <w:rsid w:val="001D4CC1"/>
    <w:rsid w:val="001D50F5"/>
    <w:rsid w:val="001E2243"/>
    <w:rsid w:val="001F3D6C"/>
    <w:rsid w:val="001F5B40"/>
    <w:rsid w:val="001F7BD1"/>
    <w:rsid w:val="00200C07"/>
    <w:rsid w:val="00202603"/>
    <w:rsid w:val="00207D67"/>
    <w:rsid w:val="002159BC"/>
    <w:rsid w:val="00222E1B"/>
    <w:rsid w:val="002275B7"/>
    <w:rsid w:val="0023599F"/>
    <w:rsid w:val="002374B6"/>
    <w:rsid w:val="00243EA0"/>
    <w:rsid w:val="00245368"/>
    <w:rsid w:val="00247D65"/>
    <w:rsid w:val="00257B9B"/>
    <w:rsid w:val="002779A8"/>
    <w:rsid w:val="002939C8"/>
    <w:rsid w:val="002A5BD3"/>
    <w:rsid w:val="002B0A3A"/>
    <w:rsid w:val="002B4B48"/>
    <w:rsid w:val="002C31B5"/>
    <w:rsid w:val="002E701F"/>
    <w:rsid w:val="002F6947"/>
    <w:rsid w:val="00325F6F"/>
    <w:rsid w:val="003312B3"/>
    <w:rsid w:val="00334519"/>
    <w:rsid w:val="00336332"/>
    <w:rsid w:val="00342AD4"/>
    <w:rsid w:val="003455D1"/>
    <w:rsid w:val="00347374"/>
    <w:rsid w:val="003660D6"/>
    <w:rsid w:val="00390FFB"/>
    <w:rsid w:val="00393A1D"/>
    <w:rsid w:val="0039706F"/>
    <w:rsid w:val="003B6D0D"/>
    <w:rsid w:val="003D48E4"/>
    <w:rsid w:val="003E05F1"/>
    <w:rsid w:val="003E193A"/>
    <w:rsid w:val="003F5D35"/>
    <w:rsid w:val="004057D3"/>
    <w:rsid w:val="0041670E"/>
    <w:rsid w:val="00426FF0"/>
    <w:rsid w:val="00456F2A"/>
    <w:rsid w:val="00457217"/>
    <w:rsid w:val="00464417"/>
    <w:rsid w:val="00482D09"/>
    <w:rsid w:val="004846F9"/>
    <w:rsid w:val="00486ECD"/>
    <w:rsid w:val="00496C3A"/>
    <w:rsid w:val="004D528F"/>
    <w:rsid w:val="004D7208"/>
    <w:rsid w:val="00510951"/>
    <w:rsid w:val="00531F2E"/>
    <w:rsid w:val="00545C41"/>
    <w:rsid w:val="0054669C"/>
    <w:rsid w:val="00550748"/>
    <w:rsid w:val="005545F4"/>
    <w:rsid w:val="00592438"/>
    <w:rsid w:val="00596563"/>
    <w:rsid w:val="005C4583"/>
    <w:rsid w:val="005E1512"/>
    <w:rsid w:val="005F3716"/>
    <w:rsid w:val="005F4B84"/>
    <w:rsid w:val="005F62AE"/>
    <w:rsid w:val="005F6EE8"/>
    <w:rsid w:val="006130B2"/>
    <w:rsid w:val="00630A78"/>
    <w:rsid w:val="00683775"/>
    <w:rsid w:val="006A05BD"/>
    <w:rsid w:val="006A6204"/>
    <w:rsid w:val="006B35F0"/>
    <w:rsid w:val="006E19BC"/>
    <w:rsid w:val="006E65D0"/>
    <w:rsid w:val="007021A5"/>
    <w:rsid w:val="00705446"/>
    <w:rsid w:val="00711438"/>
    <w:rsid w:val="00711910"/>
    <w:rsid w:val="007240C1"/>
    <w:rsid w:val="00736183"/>
    <w:rsid w:val="00736DC8"/>
    <w:rsid w:val="007531CE"/>
    <w:rsid w:val="007566DD"/>
    <w:rsid w:val="00757466"/>
    <w:rsid w:val="00764098"/>
    <w:rsid w:val="00770529"/>
    <w:rsid w:val="00785872"/>
    <w:rsid w:val="007A22E3"/>
    <w:rsid w:val="007A2820"/>
    <w:rsid w:val="007A7DBB"/>
    <w:rsid w:val="007C0183"/>
    <w:rsid w:val="007C73F3"/>
    <w:rsid w:val="007D0C70"/>
    <w:rsid w:val="007D5534"/>
    <w:rsid w:val="007F161B"/>
    <w:rsid w:val="00804000"/>
    <w:rsid w:val="008059E5"/>
    <w:rsid w:val="00812465"/>
    <w:rsid w:val="00815074"/>
    <w:rsid w:val="0081651C"/>
    <w:rsid w:val="00843A7E"/>
    <w:rsid w:val="00865DB8"/>
    <w:rsid w:val="00875804"/>
    <w:rsid w:val="008832A8"/>
    <w:rsid w:val="008863F1"/>
    <w:rsid w:val="008963D3"/>
    <w:rsid w:val="008A33C5"/>
    <w:rsid w:val="008A611B"/>
    <w:rsid w:val="008B3776"/>
    <w:rsid w:val="008C439D"/>
    <w:rsid w:val="008D31DB"/>
    <w:rsid w:val="008D36CB"/>
    <w:rsid w:val="008E71CE"/>
    <w:rsid w:val="00911084"/>
    <w:rsid w:val="00911F00"/>
    <w:rsid w:val="009121D1"/>
    <w:rsid w:val="009248E6"/>
    <w:rsid w:val="00925B6F"/>
    <w:rsid w:val="0092776A"/>
    <w:rsid w:val="009375C2"/>
    <w:rsid w:val="009431D7"/>
    <w:rsid w:val="009517D7"/>
    <w:rsid w:val="0095344D"/>
    <w:rsid w:val="009735C7"/>
    <w:rsid w:val="009816F5"/>
    <w:rsid w:val="009A1BF4"/>
    <w:rsid w:val="009A466E"/>
    <w:rsid w:val="009A4902"/>
    <w:rsid w:val="009B2AEE"/>
    <w:rsid w:val="009D623C"/>
    <w:rsid w:val="009D7321"/>
    <w:rsid w:val="009E2315"/>
    <w:rsid w:val="009F220A"/>
    <w:rsid w:val="009F4A15"/>
    <w:rsid w:val="009F5A0F"/>
    <w:rsid w:val="00A04279"/>
    <w:rsid w:val="00A150F7"/>
    <w:rsid w:val="00A337F0"/>
    <w:rsid w:val="00A40696"/>
    <w:rsid w:val="00A527BA"/>
    <w:rsid w:val="00A548C5"/>
    <w:rsid w:val="00A5736E"/>
    <w:rsid w:val="00A6159C"/>
    <w:rsid w:val="00A7223D"/>
    <w:rsid w:val="00A81783"/>
    <w:rsid w:val="00A927D9"/>
    <w:rsid w:val="00AA2AB7"/>
    <w:rsid w:val="00AB33E3"/>
    <w:rsid w:val="00AB66C8"/>
    <w:rsid w:val="00AE3DCF"/>
    <w:rsid w:val="00AF4D68"/>
    <w:rsid w:val="00AF4FC3"/>
    <w:rsid w:val="00AF670C"/>
    <w:rsid w:val="00B03B6D"/>
    <w:rsid w:val="00B1060B"/>
    <w:rsid w:val="00B115C2"/>
    <w:rsid w:val="00B21172"/>
    <w:rsid w:val="00B21952"/>
    <w:rsid w:val="00B22517"/>
    <w:rsid w:val="00B272AE"/>
    <w:rsid w:val="00B30738"/>
    <w:rsid w:val="00B46BD9"/>
    <w:rsid w:val="00B46D34"/>
    <w:rsid w:val="00B54EE6"/>
    <w:rsid w:val="00B604C1"/>
    <w:rsid w:val="00B86F10"/>
    <w:rsid w:val="00B96177"/>
    <w:rsid w:val="00BA77D5"/>
    <w:rsid w:val="00BC2178"/>
    <w:rsid w:val="00BE10C2"/>
    <w:rsid w:val="00BF66C7"/>
    <w:rsid w:val="00C0429F"/>
    <w:rsid w:val="00C21B0B"/>
    <w:rsid w:val="00C4122D"/>
    <w:rsid w:val="00C5577A"/>
    <w:rsid w:val="00C6174E"/>
    <w:rsid w:val="00C708D6"/>
    <w:rsid w:val="00CA1E1C"/>
    <w:rsid w:val="00CB78D3"/>
    <w:rsid w:val="00CC08EB"/>
    <w:rsid w:val="00CC1E93"/>
    <w:rsid w:val="00CC53DC"/>
    <w:rsid w:val="00CD1287"/>
    <w:rsid w:val="00CD375D"/>
    <w:rsid w:val="00CE7611"/>
    <w:rsid w:val="00D10E97"/>
    <w:rsid w:val="00D17F7D"/>
    <w:rsid w:val="00D22B2B"/>
    <w:rsid w:val="00D366AD"/>
    <w:rsid w:val="00D40CAE"/>
    <w:rsid w:val="00D53F24"/>
    <w:rsid w:val="00D76D27"/>
    <w:rsid w:val="00D8234B"/>
    <w:rsid w:val="00DA4822"/>
    <w:rsid w:val="00DB01DF"/>
    <w:rsid w:val="00DB3C7B"/>
    <w:rsid w:val="00DB7EE0"/>
    <w:rsid w:val="00DC42E0"/>
    <w:rsid w:val="00DD2A0C"/>
    <w:rsid w:val="00DE1509"/>
    <w:rsid w:val="00DE73AA"/>
    <w:rsid w:val="00DF6B90"/>
    <w:rsid w:val="00E02794"/>
    <w:rsid w:val="00E10561"/>
    <w:rsid w:val="00E17F12"/>
    <w:rsid w:val="00E20A40"/>
    <w:rsid w:val="00E27826"/>
    <w:rsid w:val="00E31A7B"/>
    <w:rsid w:val="00E427B0"/>
    <w:rsid w:val="00E51421"/>
    <w:rsid w:val="00E51DD3"/>
    <w:rsid w:val="00E66D99"/>
    <w:rsid w:val="00E82615"/>
    <w:rsid w:val="00E85CC4"/>
    <w:rsid w:val="00E957DA"/>
    <w:rsid w:val="00EA32C6"/>
    <w:rsid w:val="00EA4011"/>
    <w:rsid w:val="00EB2A7B"/>
    <w:rsid w:val="00EF167C"/>
    <w:rsid w:val="00F00403"/>
    <w:rsid w:val="00F13268"/>
    <w:rsid w:val="00F27323"/>
    <w:rsid w:val="00F41638"/>
    <w:rsid w:val="00F44242"/>
    <w:rsid w:val="00F45C8D"/>
    <w:rsid w:val="00F45E3F"/>
    <w:rsid w:val="00F50CDB"/>
    <w:rsid w:val="00F52FF2"/>
    <w:rsid w:val="00F61DF3"/>
    <w:rsid w:val="00F6597B"/>
    <w:rsid w:val="00F673C6"/>
    <w:rsid w:val="00F775EB"/>
    <w:rsid w:val="00F97AE8"/>
    <w:rsid w:val="00FA1115"/>
    <w:rsid w:val="00FA2D59"/>
    <w:rsid w:val="00FB4155"/>
    <w:rsid w:val="00FD42BC"/>
    <w:rsid w:val="00FE75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78F40"/>
  <w15:chartTrackingRefBased/>
  <w15:docId w15:val="{41F64167-E071-4D68-A7D7-54ADA9C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aliases w:val=" Char"/>
    <w:basedOn w:val="Normal"/>
    <w:link w:val="FooterChar"/>
    <w:pPr>
      <w:tabs>
        <w:tab w:val="center" w:pos="4153"/>
        <w:tab w:val="right" w:pos="8306"/>
      </w:tabs>
    </w:pPr>
    <w:rPr>
      <w:sz w:val="18"/>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Pr>
      <w:szCs w:val="24"/>
      <w:lang w:val="pl-PL" w:eastAsia="pl-PL"/>
    </w:rPr>
  </w:style>
  <w:style w:type="character" w:styleId="FootnoteReference">
    <w:name w:val="footnote reference"/>
    <w:rPr>
      <w:rFonts w:ascii="Arial" w:hAnsi="Arial"/>
      <w:sz w:val="22"/>
      <w:vertAlign w:val="superscript"/>
    </w:rPr>
  </w:style>
  <w:style w:type="paragraph" w:styleId="FootnoteText">
    <w:name w:val="footnote text"/>
    <w:basedOn w:val="Normal"/>
    <w:pPr>
      <w:tabs>
        <w:tab w:val="left" w:pos="567"/>
      </w:tabs>
      <w:ind w:left="567" w:hanging="567"/>
    </w:pPr>
    <w:rPr>
      <w:sz w:val="18"/>
    </w:rPr>
  </w:style>
  <w:style w:type="character" w:customStyle="1" w:styleId="FooterChar">
    <w:name w:val="Footer Char"/>
    <w:aliases w:val=" Char Char"/>
    <w:basedOn w:val="DefaultParagraphFont"/>
    <w:link w:val="Footer"/>
    <w:rsid w:val="00630A78"/>
    <w:rPr>
      <w:rFonts w:ascii="Arial" w:hAnsi="Arial"/>
      <w:sz w:val="18"/>
      <w:lang w:eastAsia="en-US"/>
    </w:rPr>
  </w:style>
  <w:style w:type="paragraph" w:styleId="ListParagraph">
    <w:name w:val="List Paragraph"/>
    <w:basedOn w:val="Normal"/>
    <w:uiPriority w:val="34"/>
    <w:qFormat/>
    <w:rsid w:val="004846F9"/>
    <w:pPr>
      <w:ind w:left="720"/>
      <w:contextualSpacing/>
    </w:pPr>
  </w:style>
  <w:style w:type="character" w:styleId="CommentReference">
    <w:name w:val="annotation reference"/>
    <w:basedOn w:val="DefaultParagraphFont"/>
    <w:uiPriority w:val="99"/>
    <w:semiHidden/>
    <w:unhideWhenUsed/>
    <w:rsid w:val="002275B7"/>
    <w:rPr>
      <w:sz w:val="16"/>
      <w:szCs w:val="16"/>
    </w:rPr>
  </w:style>
  <w:style w:type="paragraph" w:styleId="CommentText">
    <w:name w:val="annotation text"/>
    <w:basedOn w:val="Normal"/>
    <w:link w:val="CommentTextChar"/>
    <w:uiPriority w:val="99"/>
    <w:unhideWhenUsed/>
    <w:rsid w:val="002275B7"/>
    <w:rPr>
      <w:sz w:val="20"/>
    </w:rPr>
  </w:style>
  <w:style w:type="character" w:customStyle="1" w:styleId="CommentTextChar">
    <w:name w:val="Comment Text Char"/>
    <w:basedOn w:val="DefaultParagraphFont"/>
    <w:link w:val="CommentText"/>
    <w:uiPriority w:val="99"/>
    <w:rsid w:val="002275B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275B7"/>
    <w:rPr>
      <w:b/>
      <w:bCs/>
    </w:rPr>
  </w:style>
  <w:style w:type="character" w:customStyle="1" w:styleId="CommentSubjectChar">
    <w:name w:val="Comment Subject Char"/>
    <w:basedOn w:val="CommentTextChar"/>
    <w:link w:val="CommentSubject"/>
    <w:uiPriority w:val="99"/>
    <w:semiHidden/>
    <w:rsid w:val="002275B7"/>
    <w:rPr>
      <w:rFonts w:ascii="Arial" w:hAnsi="Arial"/>
      <w:b/>
      <w:bCs/>
      <w:lang w:eastAsia="en-US"/>
    </w:rPr>
  </w:style>
  <w:style w:type="paragraph" w:styleId="Revision">
    <w:name w:val="Revision"/>
    <w:hidden/>
    <w:uiPriority w:val="99"/>
    <w:semiHidden/>
    <w:rsid w:val="00F45E3F"/>
    <w:pPr>
      <w:ind w:left="0" w:firstLine="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756903825">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81bd01-0550-40eb-ad1e-c0984e575362" xsi:nil="true"/>
    <lcf76f155ced4ddcb4097134ff3c332f xmlns="7b7d6879-f6fc-4b11-a82f-f51407c30e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244774B7F6D4699728134EA7FD08F" ma:contentTypeVersion="17" ma:contentTypeDescription="Create a new document." ma:contentTypeScope="" ma:versionID="06dfbd769b9458e69e7f53b134b65a35">
  <xsd:schema xmlns:xsd="http://www.w3.org/2001/XMLSchema" xmlns:xs="http://www.w3.org/2001/XMLSchema" xmlns:p="http://schemas.microsoft.com/office/2006/metadata/properties" xmlns:ns2="7b7d6879-f6fc-4b11-a82f-f51407c30e20" xmlns:ns3="c781bd01-0550-40eb-ad1e-c0984e575362" targetNamespace="http://schemas.microsoft.com/office/2006/metadata/properties" ma:root="true" ma:fieldsID="06a1f95196657b2984578f2259f0ddfb" ns2:_="" ns3:_="">
    <xsd:import namespace="7b7d6879-f6fc-4b11-a82f-f51407c30e20"/>
    <xsd:import namespace="c781bd01-0550-40eb-ad1e-c0984e575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6879-f6fc-4b11-a82f-f51407c30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a89f6-bb04-41be-bc09-a26d61e82a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1bd01-0550-40eb-ad1e-c0984e575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30adf5-b23f-465f-9e2c-336d37b02dfb}" ma:internalName="TaxCatchAll" ma:showField="CatchAllData" ma:web="c781bd01-0550-40eb-ad1e-c0984e575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3BB83-1C70-4D20-902A-6FF2455B1496}">
  <ds:schemaRefs>
    <ds:schemaRef ds:uri="http://schemas.microsoft.com/office/2006/metadata/properties"/>
    <ds:schemaRef ds:uri="http://schemas.microsoft.com/office/infopath/2007/PartnerControls"/>
    <ds:schemaRef ds:uri="c781bd01-0550-40eb-ad1e-c0984e575362"/>
    <ds:schemaRef ds:uri="7b7d6879-f6fc-4b11-a82f-f51407c30e20"/>
  </ds:schemaRefs>
</ds:datastoreItem>
</file>

<file path=customXml/itemProps2.xml><?xml version="1.0" encoding="utf-8"?>
<ds:datastoreItem xmlns:ds="http://schemas.openxmlformats.org/officeDocument/2006/customXml" ds:itemID="{F20949AC-4620-4CA3-B2BA-A79F623F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6879-f6fc-4b11-a82f-f51407c30e20"/>
    <ds:schemaRef ds:uri="c781bd01-0550-40eb-ad1e-c0984e575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E144F-7667-4ED3-9642-E8546699DF44}">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50</TotalTime>
  <Pages>6</Pages>
  <Words>2148</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Deveney, Marty</dc:creator>
  <cp:keywords/>
  <cp:lastModifiedBy>Barton, Di</cp:lastModifiedBy>
  <cp:revision>4</cp:revision>
  <dcterms:created xsi:type="dcterms:W3CDTF">2026-01-28T06:23:00Z</dcterms:created>
  <dcterms:modified xsi:type="dcterms:W3CDTF">2026-01-28T22:25:00Z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0x010100E14244774B7F6D4699728134EA7FD08F</vt:lpwstr>
  </property>
  <property fmtid="{D5CDD505-2E9C-101B-9397-08002B2CF9AE}" pid="3" name="ClassificationContentMarkingHeaderShapeIds">
    <vt:lpwstr>73dc2667,32d34ebf,36ebb1f4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2a822848,7c8ab0bb,b167657</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