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566D" w14:textId="77777777" w:rsidR="00527B10" w:rsidRDefault="00EE1A66" w:rsidP="00EE1A66">
      <w:pPr>
        <w:spacing w:after="0"/>
        <w:rPr>
          <w:b/>
          <w:bCs/>
        </w:rPr>
      </w:pPr>
      <w:r w:rsidRPr="00527B10">
        <w:rPr>
          <w:b/>
          <w:bCs/>
        </w:rPr>
        <w:t xml:space="preserve">Møde mellem Fiskeriminister Peter Borg og BUFEGE: </w:t>
      </w:r>
    </w:p>
    <w:p w14:paraId="1E5E683E" w14:textId="3E19A673" w:rsidR="00EE1A66" w:rsidRPr="00527B10" w:rsidRDefault="00EE1A66" w:rsidP="00EE1A66">
      <w:pPr>
        <w:spacing w:after="0"/>
        <w:rPr>
          <w:b/>
          <w:bCs/>
        </w:rPr>
      </w:pPr>
      <w:r w:rsidRPr="00527B10">
        <w:rPr>
          <w:b/>
          <w:bCs/>
        </w:rPr>
        <w:t>onsdag den 18. juni 2025, kl. 8.00 – 9.</w:t>
      </w:r>
      <w:r w:rsidR="00CD12DE" w:rsidRPr="00527B10">
        <w:rPr>
          <w:b/>
          <w:bCs/>
        </w:rPr>
        <w:t>15</w:t>
      </w:r>
      <w:r w:rsidRPr="00527B10">
        <w:rPr>
          <w:b/>
          <w:bCs/>
        </w:rPr>
        <w:t xml:space="preserve">, i GE. </w:t>
      </w:r>
    </w:p>
    <w:p w14:paraId="16012007" w14:textId="633203A9" w:rsidR="00EE1A66" w:rsidRDefault="00EE1A66" w:rsidP="00EE1A66">
      <w:pPr>
        <w:spacing w:after="0"/>
      </w:pPr>
      <w:r>
        <w:t>Deltagere: Peter Borg, Emanuel Rosing, Katrine Kærgaard, Naja Lynge Petersen.</w:t>
      </w:r>
    </w:p>
    <w:p w14:paraId="3011ACF8" w14:textId="07C51BB0" w:rsidR="00EE1A66" w:rsidRDefault="00EE1A66" w:rsidP="00EE1A66">
      <w:pPr>
        <w:spacing w:after="0"/>
      </w:pPr>
      <w:r>
        <w:t>Fra BUFEGE: Miki Brøns, Frans Heilmann, Bent Salling, Søren Brandt, Erik Sivertsen, og fra GE Bent Sørensen og Christian Keldsen</w:t>
      </w:r>
      <w:r w:rsidR="00CD12DE">
        <w:t xml:space="preserve"> (går ved halvvejs)</w:t>
      </w:r>
      <w:r>
        <w:t>.</w:t>
      </w:r>
    </w:p>
    <w:p w14:paraId="1FA3CCC5" w14:textId="77777777" w:rsidR="00EE1A66" w:rsidRDefault="00EE1A66" w:rsidP="00EE1A66">
      <w:pPr>
        <w:spacing w:after="0"/>
      </w:pPr>
    </w:p>
    <w:p w14:paraId="38544A2F" w14:textId="75E78CD4" w:rsidR="00EE1A66" w:rsidRPr="00527B10" w:rsidRDefault="00EE1A66" w:rsidP="00EE1A66">
      <w:pPr>
        <w:spacing w:after="0"/>
        <w:rPr>
          <w:b/>
          <w:bCs/>
        </w:rPr>
      </w:pPr>
      <w:r w:rsidRPr="00527B10">
        <w:rPr>
          <w:b/>
          <w:bCs/>
        </w:rPr>
        <w:t>Forslag til dagsorde</w:t>
      </w:r>
      <w:r w:rsidR="00527B10" w:rsidRPr="00527B10">
        <w:rPr>
          <w:b/>
          <w:bCs/>
        </w:rPr>
        <w:t>n</w:t>
      </w:r>
      <w:r w:rsidRPr="00527B10">
        <w:rPr>
          <w:b/>
          <w:bCs/>
        </w:rPr>
        <w:t xml:space="preserve">. </w:t>
      </w:r>
    </w:p>
    <w:p w14:paraId="59711188" w14:textId="13C0208A" w:rsidR="00EE1A66" w:rsidRPr="00EE1A66" w:rsidRDefault="00EE1A66" w:rsidP="00EE1A66">
      <w:pPr>
        <w:pStyle w:val="Listeafsnit"/>
        <w:numPr>
          <w:ilvl w:val="0"/>
          <w:numId w:val="4"/>
        </w:numPr>
        <w:spacing w:after="0"/>
      </w:pPr>
      <w:r w:rsidRPr="00EE1A66">
        <w:t>Velkomst</w:t>
      </w:r>
    </w:p>
    <w:p w14:paraId="61BA688B" w14:textId="4CAD0EB8" w:rsidR="00EE1A66" w:rsidRPr="00EE1A66" w:rsidRDefault="00EE1A66" w:rsidP="00EE1A66">
      <w:pPr>
        <w:pStyle w:val="Listeafsnit"/>
        <w:numPr>
          <w:ilvl w:val="0"/>
          <w:numId w:val="4"/>
        </w:numPr>
        <w:spacing w:after="0"/>
      </w:pPr>
      <w:r w:rsidRPr="00EE1A66">
        <w:t>Præsentation af dagsorden</w:t>
      </w:r>
    </w:p>
    <w:p w14:paraId="47498A0B" w14:textId="261A98B7" w:rsidR="00EE1A66" w:rsidRPr="00EE1A66" w:rsidRDefault="00EE1A66" w:rsidP="00EE1A66">
      <w:pPr>
        <w:pStyle w:val="Listeafsnit"/>
        <w:numPr>
          <w:ilvl w:val="0"/>
          <w:numId w:val="4"/>
        </w:numPr>
        <w:spacing w:after="0"/>
      </w:pPr>
      <w:r w:rsidRPr="00EE1A66">
        <w:t>Præsentation af tilstedeværende</w:t>
      </w:r>
      <w:r w:rsidR="00CD12DE">
        <w:t xml:space="preserve"> </w:t>
      </w:r>
    </w:p>
    <w:p w14:paraId="6B4190E6" w14:textId="77777777" w:rsidR="00EE1A66" w:rsidRPr="00EE1A66" w:rsidRDefault="00EE1A66" w:rsidP="00EE1A66">
      <w:pPr>
        <w:pStyle w:val="Listeafsnit"/>
        <w:numPr>
          <w:ilvl w:val="0"/>
          <w:numId w:val="4"/>
        </w:numPr>
        <w:spacing w:after="0"/>
      </w:pPr>
      <w:r w:rsidRPr="00EE1A66">
        <w:t xml:space="preserve">Fremlæggelse af status på fiskeriet evt. fremtidige udsigter </w:t>
      </w:r>
    </w:p>
    <w:p w14:paraId="4D60BDA4" w14:textId="48DAA65C" w:rsidR="00EE1A66" w:rsidRPr="00EE1A66" w:rsidRDefault="00EE1A66" w:rsidP="00EE1A66">
      <w:pPr>
        <w:pStyle w:val="Listeafsnit"/>
        <w:numPr>
          <w:ilvl w:val="1"/>
          <w:numId w:val="4"/>
        </w:numPr>
        <w:spacing w:after="0"/>
        <w:ind w:left="1134"/>
      </w:pPr>
      <w:r w:rsidRPr="00EE1A66">
        <w:t xml:space="preserve">Rejer, f.eks. </w:t>
      </w:r>
      <w:proofErr w:type="spellStart"/>
      <w:r w:rsidRPr="00EE1A66">
        <w:t>fiskbarheden</w:t>
      </w:r>
      <w:proofErr w:type="spellEnd"/>
      <w:r w:rsidRPr="00EE1A66">
        <w:t xml:space="preserve"> er pt. ikke godt, konsekvenser for landskassen, bemanding, fabrikker på land, efterhånden overkapacitet af flåden osv. </w:t>
      </w:r>
    </w:p>
    <w:p w14:paraId="1358209C" w14:textId="3674E5C8" w:rsidR="00EE1A66" w:rsidRPr="00EE1A66" w:rsidRDefault="00EE1A66" w:rsidP="00EE1A66">
      <w:pPr>
        <w:pStyle w:val="Listeafsnit"/>
        <w:numPr>
          <w:ilvl w:val="1"/>
          <w:numId w:val="4"/>
        </w:numPr>
        <w:spacing w:after="0"/>
        <w:ind w:left="1134"/>
      </w:pPr>
      <w:r w:rsidRPr="00EE1A66">
        <w:t>Pelagisk fiskeri ingen loddefiskeri de sidst 2 år, makrel og sildefiskeri i stærk tilbage gang</w:t>
      </w:r>
    </w:p>
    <w:p w14:paraId="36E7C6F5" w14:textId="6AFFEAD6" w:rsidR="00EE1A66" w:rsidRPr="00EE1A66" w:rsidRDefault="00EE1A66" w:rsidP="00EE1A66">
      <w:pPr>
        <w:pStyle w:val="Listeafsnit"/>
        <w:numPr>
          <w:ilvl w:val="1"/>
          <w:numId w:val="4"/>
        </w:numPr>
        <w:spacing w:after="0"/>
        <w:ind w:left="1134"/>
      </w:pPr>
      <w:r w:rsidRPr="00EE1A66">
        <w:t>Bundfisk, hellefisk i fremgang mere pga. større effektivitet, torskefiskeri meget sæsonbetonet, dog godt. Overkapacitet af flåden, og pga. politik er man ved at skabe endnu mere overkapacitet. Konsekvenser af det, for selskabs økonomi, landskassen, bemanding osv.</w:t>
      </w:r>
    </w:p>
    <w:p w14:paraId="74C86703" w14:textId="77777777" w:rsidR="00EE1A66" w:rsidRPr="00EE1A66" w:rsidRDefault="00EE1A66" w:rsidP="00EE1A66">
      <w:pPr>
        <w:pStyle w:val="Listeafsnit"/>
        <w:numPr>
          <w:ilvl w:val="1"/>
          <w:numId w:val="4"/>
        </w:numPr>
        <w:spacing w:after="0"/>
        <w:ind w:left="1134"/>
      </w:pPr>
      <w:r w:rsidRPr="00EE1A66">
        <w:t>Udfordringer i Forvaltningsområde 47</w:t>
      </w:r>
    </w:p>
    <w:p w14:paraId="4724DF44" w14:textId="77777777" w:rsidR="00EE1A66" w:rsidRPr="00EE1A66" w:rsidRDefault="00EE1A66" w:rsidP="00EE1A66">
      <w:pPr>
        <w:pStyle w:val="Listeafsnit"/>
        <w:numPr>
          <w:ilvl w:val="0"/>
          <w:numId w:val="4"/>
        </w:numPr>
        <w:spacing w:after="0"/>
      </w:pPr>
      <w:r w:rsidRPr="00EE1A66">
        <w:t>Fiskeriministerens tanker om Fiskeripolitik</w:t>
      </w:r>
    </w:p>
    <w:p w14:paraId="6C96133C" w14:textId="77777777" w:rsidR="00EE1A66" w:rsidRPr="00EE1A66" w:rsidRDefault="00EE1A66" w:rsidP="00EE1A66">
      <w:pPr>
        <w:pStyle w:val="Listeafsnit"/>
        <w:numPr>
          <w:ilvl w:val="0"/>
          <w:numId w:val="4"/>
        </w:numPr>
        <w:spacing w:after="0"/>
      </w:pPr>
      <w:r w:rsidRPr="00EE1A66">
        <w:t>Diskussion</w:t>
      </w:r>
    </w:p>
    <w:p w14:paraId="2B7EA4E1" w14:textId="546CD557" w:rsidR="009E47C8" w:rsidRDefault="00EE1A66" w:rsidP="00EE1A66">
      <w:pPr>
        <w:pStyle w:val="Listeafsnit"/>
        <w:numPr>
          <w:ilvl w:val="0"/>
          <w:numId w:val="4"/>
        </w:numPr>
        <w:spacing w:after="0"/>
      </w:pPr>
      <w:r w:rsidRPr="00EE1A66">
        <w:t>Evt. møde igen senere?</w:t>
      </w:r>
    </w:p>
    <w:p w14:paraId="6AE87A78" w14:textId="77777777" w:rsidR="00EE1A66" w:rsidRDefault="00EE1A66" w:rsidP="00EE1A66">
      <w:pPr>
        <w:spacing w:after="0"/>
      </w:pPr>
    </w:p>
    <w:p w14:paraId="6CCE3F45" w14:textId="77777777" w:rsidR="00EE1A66" w:rsidRDefault="00EE1A66" w:rsidP="00EE1A66">
      <w:pPr>
        <w:spacing w:after="0"/>
      </w:pPr>
    </w:p>
    <w:p w14:paraId="611D14A9" w14:textId="642CD645" w:rsidR="00EE1A66" w:rsidRPr="00EA5E39" w:rsidRDefault="00EE1A66" w:rsidP="00EE1A66">
      <w:pPr>
        <w:spacing w:after="0"/>
        <w:rPr>
          <w:b/>
          <w:bCs/>
        </w:rPr>
      </w:pPr>
      <w:r w:rsidRPr="00EA5E39">
        <w:rPr>
          <w:b/>
          <w:bCs/>
        </w:rPr>
        <w:t>Ad 1. Velkomst</w:t>
      </w:r>
    </w:p>
    <w:p w14:paraId="59A7364C" w14:textId="181662F0" w:rsidR="00CD12DE" w:rsidRDefault="00CD12DE" w:rsidP="00EE1A66">
      <w:pPr>
        <w:spacing w:after="0"/>
      </w:pPr>
      <w:r>
        <w:t>Ved Christian Keldsen, takker for at mødet kan etableres og kort om mødet og organisering af GE.</w:t>
      </w:r>
    </w:p>
    <w:p w14:paraId="056E0318" w14:textId="77777777" w:rsidR="00EE1A66" w:rsidRPr="00EE1A66" w:rsidRDefault="00EE1A66" w:rsidP="00EE1A66">
      <w:pPr>
        <w:spacing w:after="0"/>
        <w:ind w:left="360"/>
      </w:pPr>
    </w:p>
    <w:p w14:paraId="33AE86AA" w14:textId="6A7DE759" w:rsidR="00EE1A66" w:rsidRPr="00EA5E39" w:rsidRDefault="00EE1A66" w:rsidP="00EE1A66">
      <w:pPr>
        <w:spacing w:after="0"/>
        <w:rPr>
          <w:b/>
          <w:bCs/>
        </w:rPr>
      </w:pPr>
      <w:r w:rsidRPr="00EA5E39">
        <w:rPr>
          <w:b/>
          <w:bCs/>
        </w:rPr>
        <w:t>Ad 2. Præsentation af dagsorden</w:t>
      </w:r>
    </w:p>
    <w:p w14:paraId="139D354F" w14:textId="22939B78" w:rsidR="00EE1A66" w:rsidRDefault="00CD12DE" w:rsidP="00CD12DE">
      <w:pPr>
        <w:spacing w:after="0"/>
      </w:pPr>
      <w:r>
        <w:t>Taget til efterretning, dagsorden køres som retningsgivende til mødet.</w:t>
      </w:r>
    </w:p>
    <w:p w14:paraId="1CBB0479" w14:textId="77777777" w:rsidR="00EE1A66" w:rsidRDefault="00EE1A66" w:rsidP="00EE1A66">
      <w:pPr>
        <w:spacing w:after="0"/>
        <w:ind w:left="360"/>
      </w:pPr>
    </w:p>
    <w:p w14:paraId="4970F77B" w14:textId="1112E3D4" w:rsidR="00EE1A66" w:rsidRPr="00EA5E39" w:rsidRDefault="00EE1A66" w:rsidP="00EE1A66">
      <w:pPr>
        <w:spacing w:after="0"/>
        <w:rPr>
          <w:b/>
          <w:bCs/>
        </w:rPr>
      </w:pPr>
      <w:r w:rsidRPr="00EA5E39">
        <w:rPr>
          <w:b/>
          <w:bCs/>
        </w:rPr>
        <w:t>Ad 3. Præsentation af tilstedeværende</w:t>
      </w:r>
    </w:p>
    <w:p w14:paraId="09F915E3" w14:textId="5B502E5B" w:rsidR="00EE1A66" w:rsidRDefault="00CD12DE" w:rsidP="00CD12DE">
      <w:pPr>
        <w:spacing w:after="0"/>
      </w:pPr>
      <w:r>
        <w:t>Alle præsenterer sig.</w:t>
      </w:r>
    </w:p>
    <w:p w14:paraId="50D59A93" w14:textId="02886C56" w:rsidR="007673DD" w:rsidRDefault="007673DD" w:rsidP="00CD12DE">
      <w:pPr>
        <w:spacing w:after="0"/>
      </w:pPr>
      <w:r>
        <w:t xml:space="preserve">Ministeren </w:t>
      </w:r>
      <w:r w:rsidR="008A7EEB">
        <w:t>orienterer</w:t>
      </w:r>
      <w:r>
        <w:t xml:space="preserve"> om </w:t>
      </w:r>
      <w:r w:rsidR="00462301">
        <w:t>sin baggrund</w:t>
      </w:r>
      <w:r w:rsidR="00527B10">
        <w:t>, han er fisker og fanger mv.</w:t>
      </w:r>
      <w:r>
        <w:t xml:space="preserve"> </w:t>
      </w:r>
      <w:r w:rsidR="00527B10">
        <w:t>Han har været med i Demokraterne fra starten af partiet</w:t>
      </w:r>
      <w:r w:rsidR="00462301">
        <w:t>, har haft mange roller uden at han er i frontlinjen.</w:t>
      </w:r>
    </w:p>
    <w:p w14:paraId="4FD2F6CC" w14:textId="77777777" w:rsidR="00EE1A66" w:rsidRDefault="00EE1A66" w:rsidP="00EE1A66">
      <w:pPr>
        <w:spacing w:after="0"/>
        <w:ind w:left="360"/>
      </w:pPr>
    </w:p>
    <w:p w14:paraId="0DD30DB7" w14:textId="33C96275" w:rsidR="00EE1A66" w:rsidRPr="00EA5E39" w:rsidRDefault="00EE1A66" w:rsidP="00EE1A66">
      <w:pPr>
        <w:spacing w:after="0"/>
        <w:rPr>
          <w:b/>
          <w:bCs/>
        </w:rPr>
      </w:pPr>
      <w:r w:rsidRPr="00EA5E39">
        <w:rPr>
          <w:b/>
          <w:bCs/>
        </w:rPr>
        <w:t xml:space="preserve">Ad 4. Fremlæggelse af status på fiskeriet evt. fremtidige udsigter </w:t>
      </w:r>
    </w:p>
    <w:p w14:paraId="74C1EBC3" w14:textId="77777777" w:rsidR="00EE1A66" w:rsidRPr="00EA5E39" w:rsidRDefault="00EE1A66" w:rsidP="00EE1A66">
      <w:pPr>
        <w:pStyle w:val="Listeafsnit"/>
        <w:numPr>
          <w:ilvl w:val="1"/>
          <w:numId w:val="4"/>
        </w:numPr>
        <w:spacing w:after="0"/>
        <w:ind w:left="1134"/>
        <w:rPr>
          <w:b/>
          <w:bCs/>
        </w:rPr>
      </w:pPr>
      <w:r w:rsidRPr="00EA5E39">
        <w:rPr>
          <w:b/>
          <w:bCs/>
        </w:rPr>
        <w:t xml:space="preserve">Rejer, f.eks. </w:t>
      </w:r>
      <w:proofErr w:type="spellStart"/>
      <w:r w:rsidRPr="00EA5E39">
        <w:rPr>
          <w:b/>
          <w:bCs/>
        </w:rPr>
        <w:t>fiskbarheden</w:t>
      </w:r>
      <w:proofErr w:type="spellEnd"/>
      <w:r w:rsidRPr="00EA5E39">
        <w:rPr>
          <w:b/>
          <w:bCs/>
        </w:rPr>
        <w:t xml:space="preserve"> er pt. ikke godt, konsekvenser for landskassen, bemanding, fabrikker på land, efterhånden overkapacitet af flåden osv. </w:t>
      </w:r>
    </w:p>
    <w:p w14:paraId="17DE5634" w14:textId="77777777" w:rsidR="00CD12DE" w:rsidRDefault="00CD12DE" w:rsidP="00CD12DE">
      <w:pPr>
        <w:spacing w:after="0"/>
      </w:pPr>
    </w:p>
    <w:p w14:paraId="71DB1AF3" w14:textId="486793B5" w:rsidR="007673DD" w:rsidRDefault="007673DD" w:rsidP="007673DD">
      <w:pPr>
        <w:spacing w:after="0"/>
      </w:pPr>
      <w:r>
        <w:t>Aktuel status for rejefiskeriet: Der blev fremlagt en omfattende status på det grønlandske rejefiskeri, som i øjeblikket befinder sig i en alvorligt udfordret situation. Fangstraterne (CPUE - fangst pr. indsats) er på et meget lavt niveau. Den samlede tilladte fangstmængde (TAC) for året, inklusive kvotefleksibilitet, er på cirka 104.000 tons. Til dato er der imidlertid kun fanget omkring 30.000 tons, hvor et normalt niveau på denne tid af året ville være ca. 50.000 tons. Den lave fangst skaber betydelige økonomiske og beskæftigelsesmæssige konsekvenser.</w:t>
      </w:r>
    </w:p>
    <w:p w14:paraId="7DA5D5CF" w14:textId="77777777" w:rsidR="007673DD" w:rsidRDefault="007673DD" w:rsidP="007673DD">
      <w:pPr>
        <w:spacing w:after="0"/>
      </w:pPr>
    </w:p>
    <w:p w14:paraId="5E086EF1" w14:textId="77777777" w:rsidR="007673DD" w:rsidRDefault="007673DD" w:rsidP="007673DD">
      <w:pPr>
        <w:spacing w:after="0"/>
      </w:pPr>
      <w:r>
        <w:lastRenderedPageBreak/>
        <w:t>Det er særligt det havgående fiskeri, der er hårdest ramt, idet rejebestanden har forskudt sig geografisk længere mod øst. Det kystnære fiskeri klarer sig aktuelt bedre, men også her ses der pres.</w:t>
      </w:r>
    </w:p>
    <w:p w14:paraId="0495006D" w14:textId="77777777" w:rsidR="007673DD" w:rsidRDefault="007673DD" w:rsidP="007673DD">
      <w:pPr>
        <w:spacing w:after="0"/>
      </w:pPr>
    </w:p>
    <w:p w14:paraId="5D7ED49E" w14:textId="3E322D6A" w:rsidR="007673DD" w:rsidRDefault="007673DD" w:rsidP="007673DD">
      <w:pPr>
        <w:spacing w:after="0"/>
      </w:pPr>
      <w:r>
        <w:t>Økonomiske og beskæftigelsesmæssige konsekvenser: De lave fangstrater forstærkes af en meget høj ressourcerente på 18,4%, hvilket medfører markant økonomisk belastning for selskaberne og aflønningen af besætningsmedlemmer. Besætningsmedlemmer søger i stigende grad mod fiskeskibe fra rejetrawlere, hvor de kan opnå højere lønninger. Denne tendens er dog kortsigtet, eftersom faldende kvoter over tid også vil reducere beskæftigelsen på fiskeskibene, da kvoterne kun vil for nogle være slut i august og september. Fiskeskibe er også blevet meget effektive.</w:t>
      </w:r>
    </w:p>
    <w:p w14:paraId="65AF920E" w14:textId="77777777" w:rsidR="007673DD" w:rsidRDefault="007673DD" w:rsidP="007673DD">
      <w:pPr>
        <w:spacing w:after="0"/>
      </w:pPr>
    </w:p>
    <w:p w14:paraId="1B830911" w14:textId="046BE2EA" w:rsidR="007673DD" w:rsidRDefault="007673DD" w:rsidP="007673DD">
      <w:pPr>
        <w:spacing w:after="0"/>
      </w:pPr>
      <w:r>
        <w:t xml:space="preserve">Den overkapacitet forplanter sig også til landbaserede fabrikker. Der er på nuværende tidspunkt kapacitet til flere fabrikker end der reelt er grundlag for. Med de nuværende fangstmængder er der i realiteten kun behov for én fabrik i det nordlige område, hvor både fabrikker i Ilulissat og Aasiaat konkurrerer om de samme begrænsede mængder råvarer. Det bremser for </w:t>
      </w:r>
      <w:r w:rsidR="008A7EEB">
        <w:t>en højproduktivitet</w:t>
      </w:r>
      <w:r>
        <w:t>, til gavn for alle.</w:t>
      </w:r>
    </w:p>
    <w:p w14:paraId="0CFF8CD2" w14:textId="77777777" w:rsidR="007673DD" w:rsidRDefault="007673DD" w:rsidP="007673DD">
      <w:pPr>
        <w:spacing w:after="0"/>
      </w:pPr>
    </w:p>
    <w:p w14:paraId="42CA1E3E" w14:textId="60698A63" w:rsidR="007673DD" w:rsidRDefault="007673DD" w:rsidP="007673DD">
      <w:pPr>
        <w:spacing w:after="0"/>
      </w:pPr>
      <w:r>
        <w:t>Den faldende TAC medfører pres både på fiskeflåden, fabrikkerne og dermed også på landskassens indtægter fra fiskeriet. Det blev understreget, at helårsansættelser på både fartøjer og fabrikker er afgørende for at sikre stabil beskæftigelse og gode indtjeningsforhold for medarbejderne samt fastholde et stabilt bidrag i sidste ende til samfundsøkonomien.</w:t>
      </w:r>
    </w:p>
    <w:p w14:paraId="5EF71513" w14:textId="77777777" w:rsidR="007673DD" w:rsidRDefault="007673DD" w:rsidP="007673DD">
      <w:pPr>
        <w:spacing w:after="0"/>
      </w:pPr>
    </w:p>
    <w:p w14:paraId="6F60E469" w14:textId="48C5E3D1" w:rsidR="007673DD" w:rsidRDefault="007673DD" w:rsidP="007673DD">
      <w:pPr>
        <w:spacing w:after="0"/>
      </w:pPr>
      <w:r>
        <w:t xml:space="preserve">Regulering og adgangsbegrænsninger: En yderligere udfordring er, at visse områder, herunder såkaldte kasser, er blevet lukket for fiskeri på grund af bekendtgørelsesændringer. Disse områder kunne potentielt have bidraget med op til 4.000 tons rejer årligt, men kystnære fartøjer med isede rejer har ikke adgang til disse fiskeområder. Dette har skabt yderligere koncentration af fiskeriaktivitet i de resterende områder, hvor antallet af fartøjer stiger, og konkurrencen skærpes yderligere, med dårligere fiskeri til alle. </w:t>
      </w:r>
    </w:p>
    <w:p w14:paraId="73277D76" w14:textId="00E6779C" w:rsidR="007673DD" w:rsidRDefault="007673DD" w:rsidP="007673DD">
      <w:pPr>
        <w:spacing w:after="0"/>
      </w:pPr>
      <w:r>
        <w:t>Samtidig øges presset af, at enkelte selskaber indsætter yderligere fartøjer i fiskeriet, til trods for at de indtil nu kun har fanget en begrænset del af deres kvoter. Denne udvikling bidrager til yderligere skævvridning i kapacitetsudnyttelsen. RG har kun indtil videre kun fanget ca. 5.000 tons ud af deres kvoter på over 30.000 tons.</w:t>
      </w:r>
    </w:p>
    <w:p w14:paraId="4D0518AB" w14:textId="77777777" w:rsidR="007673DD" w:rsidRDefault="007673DD" w:rsidP="007673DD">
      <w:pPr>
        <w:spacing w:after="0"/>
      </w:pPr>
    </w:p>
    <w:p w14:paraId="533DEC00" w14:textId="68F9C796" w:rsidR="007673DD" w:rsidRDefault="007673DD" w:rsidP="007673DD">
      <w:pPr>
        <w:spacing w:after="0"/>
      </w:pPr>
      <w:r>
        <w:t>Biologiske og forvaltningsmæssige forhold: Der blev lagt vægt på, at der er et godt, løbende samarbejde med Naturinstituttet omkring monitoreringen af rejebestanden, herunder via fire årlige møder. Dog er der bekymring for, at de politisk fastsatte kvoter fortsat ligger for højt i forhold til den aktuelle bæredygtige udnyttelse af bestanden. Rekrutteringsgrundlaget ser svækket ud, både hvad angår rekrutter og prærekrutter, hvilket giver anledning til bekymring for bestandens fremtidige udvikling. Det er selvom GN ellers tidligere ikke var bekymret over rejebestanden.</w:t>
      </w:r>
    </w:p>
    <w:p w14:paraId="0993AF78" w14:textId="77777777" w:rsidR="007673DD" w:rsidRDefault="007673DD" w:rsidP="007673DD">
      <w:pPr>
        <w:spacing w:after="0"/>
      </w:pPr>
    </w:p>
    <w:p w14:paraId="20CF644B" w14:textId="1B06A9EA" w:rsidR="007673DD" w:rsidRDefault="007673DD" w:rsidP="007673DD">
      <w:pPr>
        <w:spacing w:after="0"/>
      </w:pPr>
      <w:r>
        <w:t xml:space="preserve">Ministerens bemærkninger: Ministeren udtrykte sin bekymring over situationen og bekræftede, at han nøje følger udviklingen. Han anerkender de udfordringer, der er skitseret, men gjorde det også klart, at han på nuværende tidspunkt ikke kan love konkrete tiltag. Han understregede dog </w:t>
      </w:r>
      <w:proofErr w:type="spellStart"/>
      <w:r>
        <w:t>Naalakkersuisuts</w:t>
      </w:r>
      <w:proofErr w:type="spellEnd"/>
      <w:r>
        <w:t xml:space="preserve"> overordnede politik, der har som mål, at fiskeriet skal være bæredygtigt på både kort og langt sigt.</w:t>
      </w:r>
    </w:p>
    <w:p w14:paraId="4F474626" w14:textId="77777777" w:rsidR="007673DD" w:rsidRDefault="007673DD" w:rsidP="007673DD">
      <w:pPr>
        <w:spacing w:after="0"/>
      </w:pPr>
    </w:p>
    <w:p w14:paraId="48396B59" w14:textId="63B39080" w:rsidR="007673DD" w:rsidRDefault="007673DD" w:rsidP="007673DD">
      <w:pPr>
        <w:spacing w:after="0"/>
      </w:pPr>
      <w:r>
        <w:t>Produktionsudfordringer</w:t>
      </w:r>
      <w:r w:rsidR="008A7EEB">
        <w:t xml:space="preserve">: </w:t>
      </w:r>
      <w:r>
        <w:t xml:space="preserve">Som et konkret eksempel blev det nævnt, at enkelte fartøjer har været på søen i op mod 45 dage uden at have fyldt lasten. </w:t>
      </w:r>
      <w:r w:rsidR="008A7EEB">
        <w:t xml:space="preserve">I mange år siden, slut 80’erne, er den højeste </w:t>
      </w:r>
      <w:r>
        <w:lastRenderedPageBreak/>
        <w:t xml:space="preserve">fangstrejser op </w:t>
      </w:r>
      <w:r w:rsidR="008A7EEB">
        <w:t>på</w:t>
      </w:r>
      <w:r>
        <w:t xml:space="preserve"> 52 dage, men d</w:t>
      </w:r>
      <w:r w:rsidR="008A7EEB">
        <w:t xml:space="preserve">engang </w:t>
      </w:r>
      <w:r>
        <w:t>kunne fartøjerne ikke returnere til havn før lasten var fyldt.</w:t>
      </w:r>
      <w:r w:rsidR="008A7EEB">
        <w:t xml:space="preserve"> Nu skal man sejle tilbage fordi RAL vil have at man har det dato som er aftalt.</w:t>
      </w:r>
      <w:r>
        <w:t xml:space="preserve"> </w:t>
      </w:r>
    </w:p>
    <w:p w14:paraId="5DD80B93" w14:textId="77777777" w:rsidR="007673DD" w:rsidRDefault="007673DD" w:rsidP="007673DD">
      <w:pPr>
        <w:spacing w:after="0"/>
      </w:pPr>
    </w:p>
    <w:p w14:paraId="4440E2DD" w14:textId="156C4301" w:rsidR="007673DD" w:rsidRDefault="007673DD" w:rsidP="007673DD">
      <w:pPr>
        <w:spacing w:after="0"/>
      </w:pPr>
      <w:r>
        <w:t>Produktionsfordelingen har også ændret sig markant. Tidligere blev ca. 75% af fangsten forarbejdet til eksport ombord og kun 25% til landanlæg. I dag er forholdet ca. 50/50, hvilket blandt andet skyldes høje afgifter på eksportproduktion og fragtomkostninger. Landanlæggene er økonomisk mere fordelagtige pga. en lavere afgift på kun 5% af landed</w:t>
      </w:r>
      <w:r w:rsidR="008A7EEB">
        <w:t xml:space="preserve">e </w:t>
      </w:r>
      <w:r>
        <w:t>mængde. Direkte eksport fra fartøjerne er i stigende grad blevet underskudsgivende.</w:t>
      </w:r>
    </w:p>
    <w:p w14:paraId="084C17AC" w14:textId="77777777" w:rsidR="007673DD" w:rsidRDefault="007673DD" w:rsidP="007673DD">
      <w:pPr>
        <w:spacing w:after="0"/>
      </w:pPr>
    </w:p>
    <w:p w14:paraId="1733EB5B" w14:textId="64B78A7E" w:rsidR="008A7EEB" w:rsidRDefault="008A7EEB" w:rsidP="007673DD">
      <w:pPr>
        <w:spacing w:after="0"/>
      </w:pPr>
      <w:r>
        <w:t>Torsken observeres, der er rejer i den mave, derfor bør måske tænkes i kombinationsfiskeri, torsken som er i stærkfremgang skal udnyttes</w:t>
      </w:r>
      <w:r w:rsidR="00EA5E39">
        <w:t>,</w:t>
      </w:r>
      <w:r>
        <w:t xml:space="preserve"> mens den er her</w:t>
      </w:r>
      <w:r w:rsidR="00EA5E39">
        <w:t>, den ses blandt andet i rejefiskeriet, når den presser sorteringsriste.</w:t>
      </w:r>
    </w:p>
    <w:p w14:paraId="4E010ED5" w14:textId="77777777" w:rsidR="008A7EEB" w:rsidRDefault="008A7EEB" w:rsidP="007673DD">
      <w:pPr>
        <w:spacing w:after="0"/>
      </w:pPr>
    </w:p>
    <w:p w14:paraId="0B65600D" w14:textId="4C057FAB" w:rsidR="00CD12DE" w:rsidRDefault="007673DD" w:rsidP="007673DD">
      <w:pPr>
        <w:spacing w:after="0"/>
      </w:pPr>
      <w:r>
        <w:t>Overordnet konklusion</w:t>
      </w:r>
      <w:r w:rsidR="008A7EEB">
        <w:t xml:space="preserve">: </w:t>
      </w:r>
      <w:r>
        <w:t>Fiskeriet står over for betydelige strukturelle udfordringer, både økonomisk, biologisk og politisk. Der er behov for tilpasning af både flådekapacitet, fabrikskapacitet og en tæt monitorering af bestandens udvikling for at sikre fiskeriets langsigtede bæredygtighed, beskæftigelse og bidrag til landskassen.</w:t>
      </w:r>
      <w:r w:rsidR="008A7EEB">
        <w:t xml:space="preserve"> Konkret bør ressourcerenten tilpasses, således vi ikke komme ud i tidligere tiders økonomiske uføre. </w:t>
      </w:r>
    </w:p>
    <w:p w14:paraId="2E5D993B" w14:textId="77777777" w:rsidR="008A7EEB" w:rsidRDefault="008A7EEB" w:rsidP="007673DD">
      <w:pPr>
        <w:spacing w:after="0"/>
      </w:pPr>
    </w:p>
    <w:p w14:paraId="3BA0591B" w14:textId="77777777" w:rsidR="00EE1A66" w:rsidRPr="00EE1A66" w:rsidRDefault="00EE1A66" w:rsidP="00EE1A66">
      <w:pPr>
        <w:pStyle w:val="Listeafsnit"/>
        <w:spacing w:after="0"/>
        <w:ind w:left="1134"/>
      </w:pPr>
    </w:p>
    <w:p w14:paraId="4E7E8037" w14:textId="77777777" w:rsidR="00EE1A66" w:rsidRPr="00EA5E39" w:rsidRDefault="00EE1A66" w:rsidP="00EE1A66">
      <w:pPr>
        <w:pStyle w:val="Listeafsnit"/>
        <w:numPr>
          <w:ilvl w:val="1"/>
          <w:numId w:val="4"/>
        </w:numPr>
        <w:spacing w:after="0"/>
        <w:ind w:left="1134"/>
        <w:rPr>
          <w:b/>
          <w:bCs/>
        </w:rPr>
      </w:pPr>
      <w:r w:rsidRPr="00EA5E39">
        <w:rPr>
          <w:b/>
          <w:bCs/>
        </w:rPr>
        <w:t>Pelagisk fiskeri ingen loddefiskeri de sidst 2 år, makrel og sildefiskeri i stærk tilbage gang</w:t>
      </w:r>
    </w:p>
    <w:p w14:paraId="6A5F7C96" w14:textId="77777777" w:rsidR="00EA5E39" w:rsidRDefault="00EA5E39" w:rsidP="00EA5E39"/>
    <w:p w14:paraId="48551397" w14:textId="644E067B" w:rsidR="00EA5E39" w:rsidRDefault="00EA5E39" w:rsidP="00EA5E39">
      <w:r>
        <w:t>Der blev givet en status for det pelagiske fiskeri, som aktuelt er i kraftig tilbagegang. Der har ikke været godt loddefiskeri i de seneste to år, og både makrel- og sildefiskeriet er væsentligt reduceret i forhold til tidligere niveauer. Det pelagiske fiskeri er generelt ikke længere på samme stabile og høje niveau som tidligere år.</w:t>
      </w:r>
    </w:p>
    <w:p w14:paraId="6C6E761A" w14:textId="77777777" w:rsidR="00EA5E39" w:rsidRDefault="00EA5E39" w:rsidP="00EA5E39">
      <w:r>
        <w:t>Loddefiskeriet er markant reduceret og begrænset til et halvårsfiskeri for kun to fartøjer. Der foregår nu primært loddefiskeri i internationalt farvand, da mulighederne i egne farvande er begrænsede.</w:t>
      </w:r>
    </w:p>
    <w:p w14:paraId="53287D9F" w14:textId="77777777" w:rsidR="00EA5E39" w:rsidRDefault="00EA5E39" w:rsidP="00EA5E39">
      <w:r>
        <w:t>Der konstateres en fortsat og betydelig tilbagegang i det samlede pelagiske fiskeri. Aktiviteten flytter sig i stigende grad til internationalt farvand, og der er behov for at følge udviklingen tæt, både biologisk og økonomisk, for at sikre langsigtet udnyttelse og tilpasning af kapaciteten i dette segment.</w:t>
      </w:r>
    </w:p>
    <w:p w14:paraId="0D79F19E" w14:textId="7110956F" w:rsidR="00EE1A66" w:rsidRDefault="00EE1A66"/>
    <w:p w14:paraId="660998DE" w14:textId="77777777" w:rsidR="00EE1A66" w:rsidRPr="00333932" w:rsidRDefault="00EE1A66" w:rsidP="00EE1A66">
      <w:pPr>
        <w:pStyle w:val="Listeafsnit"/>
        <w:numPr>
          <w:ilvl w:val="1"/>
          <w:numId w:val="4"/>
        </w:numPr>
        <w:spacing w:after="0"/>
        <w:ind w:left="1134"/>
        <w:rPr>
          <w:b/>
          <w:bCs/>
        </w:rPr>
      </w:pPr>
      <w:r w:rsidRPr="00333932">
        <w:rPr>
          <w:b/>
          <w:bCs/>
        </w:rPr>
        <w:t>Bundfisk, hellefisk i fremgang mere pga. større effektivitet, torskefiskeri meget sæsonbetonet, dog godt. Overkapacitet af flåden, og pga. politik er man ved at skabe endnu mere overkapacitet. Konsekvenser af det, for selskabs økonomi, landskassen, bemanding osv.</w:t>
      </w:r>
    </w:p>
    <w:p w14:paraId="122C4567" w14:textId="046D6550" w:rsidR="00EE1A66" w:rsidRDefault="00EE1A66"/>
    <w:p w14:paraId="6A2CE15B" w14:textId="33E2CEAF" w:rsidR="00333932" w:rsidRDefault="00333932" w:rsidP="00333932">
      <w:r>
        <w:t xml:space="preserve">Overordnet status: Der er en generel positiv bundfiskeriet lige nu. Fiskeriet efter både hellefisk og torsk er går godt. Der er opnået høj effektivitet i fiskeriet, hvilket især er tydeligt i fiskeri efter hellefisk, hvor der er høj CPUE. Sammenlægningen af de tidligere forvaltningsområder Nord og Syd til ét samlet område i Vestgrønland er en god beslutning, som har givet fleksibilitet til fiskeriet. Fiskeriet på </w:t>
      </w:r>
      <w:proofErr w:type="spellStart"/>
      <w:r>
        <w:t>Dohrn</w:t>
      </w:r>
      <w:proofErr w:type="spellEnd"/>
      <w:r>
        <w:t xml:space="preserve"> Banke forløber også tilfredsstillende.</w:t>
      </w:r>
    </w:p>
    <w:p w14:paraId="2D2C7593" w14:textId="372F9CD5" w:rsidR="00333932" w:rsidRDefault="00333932" w:rsidP="00333932">
      <w:r>
        <w:lastRenderedPageBreak/>
        <w:t>Der er god torskebestand og tilstedeværelsen i fiskeriområderne svinger, men i de perioder hvor torsken er til stede, er der gode fangster. Observationer viser, at torsk blandt andet lever af rejer, hvilket også har sammenhæng med udviklingen i rejebestanden.</w:t>
      </w:r>
    </w:p>
    <w:p w14:paraId="372370B5" w14:textId="77777777" w:rsidR="00333932" w:rsidRDefault="00333932" w:rsidP="00333932">
      <w:r>
        <w:t>For hellefisk ses en meget høj fiskerieffektivitet. Der er eksempler på, at fartøjer allerede vil have opfisket deres kvoter i august-september, hvis den nuværende effektivitet fortsætter. Denne høje effektivitet rejser spørgsmål om kapaciteten i flåden og den langsigtede udnyttelse.</w:t>
      </w:r>
    </w:p>
    <w:p w14:paraId="739BE060" w14:textId="232ABF5D" w:rsidR="00333932" w:rsidRDefault="00333932" w:rsidP="00333932">
      <w:r>
        <w:t>Økonomiske og beskæftigelsesmæssige konsekvenser: Der er i dag allerede overkapacitet i flåden, og de aktuelle politiske tiltag kan bidrage til yderligere overkapacitet. Dette skaber risiko for pres på selskabernes økonomi, øget konkurrence og potentielt faldende indtjening pr. fartøj. Konsekvenserne vil også kunne mærkes på landskassens indtægter samt på bemandingssituationen, hvor det bliver vanskeligere at sikre helårsbeskæftigelse for mandskabet. Rejefiskere søger i stigende grad mod fiskeskibe for hellefisk og torsk, men når kvoterne er opfisket hurtigt der, vil der opstå nye udfordringer for bemandingen også her.</w:t>
      </w:r>
    </w:p>
    <w:p w14:paraId="1699EE1A" w14:textId="394F709A" w:rsidR="00333932" w:rsidRDefault="00333932" w:rsidP="00333932">
      <w:r>
        <w:t>Ressourcerente og konkurrenceforhold: Ressourcerenten på 18,4% blev endnu en gang fremhævet som meget høj sammenlignet med konkurrentlande. En kort analyse (fremlagt som bilag) viser, at Grønland ligger betydeligt højere end sammenlignelige fiskerinationer. Både selskaber med færre kvoter (GE-medlemmer) og selskaber med store kvoter (f.eks. RG) påvirkes af de høje afgifter, hvilket kan få store konsekvenser for den samlede sektor.</w:t>
      </w:r>
    </w:p>
    <w:p w14:paraId="6F64106C" w14:textId="3458FA23" w:rsidR="00333932" w:rsidRDefault="00333932" w:rsidP="00333932">
      <w:r>
        <w:t>Forvaltningsplaner: Der blev orienteret om det netop afholdte møde om Forvaltningsplanen for hellefisk i Vestgrønland. I den forbindelse blev også den kommende forvaltningsplan for havbunden drøftet. Det blev bemærket, at selvom Grønland råder over store havområder, er de effektive fiskefelter begrænsede. Erfaring viser, at forsøg med nye felter som regel ender med en tilbagevenden til de kendte, gode fiskefelter. Derfor vil øget antal fartøjer vil presse fiskeriet, og fangst pr. indsats (CPUE) forventes at falde, hvis flåden udvides yderligere.</w:t>
      </w:r>
    </w:p>
    <w:p w14:paraId="3804A1E8" w14:textId="65C7A5C6" w:rsidR="00333932" w:rsidRDefault="00333932" w:rsidP="00333932">
      <w:r>
        <w:t>Perspektivering: Der blev rejst spørgsmål om, hvilken udvikling man egentlig ønsker at fremme. Tidligere har indhandlingen skabt beskæftigelse på landanlæg til lokalbefolkning, men blandt andet pga. manglende arbejdskraft ses nu mange asiatiske medarbejdere i fabrikker.</w:t>
      </w:r>
    </w:p>
    <w:p w14:paraId="10D3221B" w14:textId="77777777" w:rsidR="00EE1A66" w:rsidRPr="00EE1A66" w:rsidRDefault="00EE1A66" w:rsidP="00EE1A66">
      <w:pPr>
        <w:pStyle w:val="Listeafsnit"/>
        <w:spacing w:after="0"/>
        <w:ind w:left="1134"/>
      </w:pPr>
    </w:p>
    <w:p w14:paraId="193A6327" w14:textId="77777777" w:rsidR="00EE1A66" w:rsidRPr="00333932" w:rsidRDefault="00EE1A66" w:rsidP="00EE1A66">
      <w:pPr>
        <w:pStyle w:val="Listeafsnit"/>
        <w:numPr>
          <w:ilvl w:val="1"/>
          <w:numId w:val="4"/>
        </w:numPr>
        <w:spacing w:after="0"/>
        <w:ind w:left="1134"/>
        <w:rPr>
          <w:b/>
          <w:bCs/>
        </w:rPr>
      </w:pPr>
      <w:r w:rsidRPr="00333932">
        <w:rPr>
          <w:b/>
          <w:bCs/>
        </w:rPr>
        <w:t>Udfordringer i Forvaltningsområde 47</w:t>
      </w:r>
    </w:p>
    <w:p w14:paraId="063AC96C" w14:textId="77777777" w:rsidR="00462301" w:rsidRDefault="00462301" w:rsidP="00363987"/>
    <w:p w14:paraId="1C0E217C" w14:textId="46B0C322" w:rsidR="00363987" w:rsidRDefault="00363987" w:rsidP="00363987">
      <w:r>
        <w:t>Der blev fremlagt en opdatering om den positive udvikling i torskebestanden i Forvaltningsområde 47. Der ses en markant fremgang, og det er særligt bemærkelsesværdigt, at der er tale om store, velvoksne torsk. Indhandlingsmængderne er steget kraftigt over de seneste år. I 2023 blev der indhandlet ca. 600 tons torsk, mens der i 2024 allerede er indhandlet over 1.000 tons. Prognoserne peger på, at indhandlingen i 2025 vil blive endnu større, hvis udviklingen fortsætter.</w:t>
      </w:r>
    </w:p>
    <w:p w14:paraId="25C5EC60" w14:textId="58195931" w:rsidR="00363987" w:rsidRDefault="00363987" w:rsidP="00363987">
      <w:r>
        <w:t xml:space="preserve">Det blev bemærket, at torsken i området i også lever af rejer. Denne </w:t>
      </w:r>
      <w:proofErr w:type="spellStart"/>
      <w:r>
        <w:t>prædation</w:t>
      </w:r>
      <w:proofErr w:type="spellEnd"/>
      <w:r>
        <w:t xml:space="preserve"> kan få betydning for rejeressourcen i området, som allerede er udfordret flere steder. Samtidig kan torskebestanden potentielt blive en direkte konkurrent til hellefisken i området, især i Diskobugten.</w:t>
      </w:r>
    </w:p>
    <w:p w14:paraId="58752EB9" w14:textId="5F7F946D" w:rsidR="00363987" w:rsidRDefault="00363987" w:rsidP="00363987">
      <w:r>
        <w:t>Det blev drøftet, at det derfor er vigtigt at udnytte torsken, mens bestanden er til stede og i vækst. Torsken er traditionelt en svingende bestand, som historisk er kommet og gået i de grønlandske farvande. En målrettet udnyttelse af den aktuelle forekomst vil kunne give værdifulde indtægter til fiskeriet og landskassen.</w:t>
      </w:r>
    </w:p>
    <w:p w14:paraId="1F8A24FE" w14:textId="13371EB7" w:rsidR="00363987" w:rsidRDefault="00363987" w:rsidP="00363987">
      <w:r>
        <w:lastRenderedPageBreak/>
        <w:t xml:space="preserve">Ministerens bemærkninger: Ministeren tilkendegav, at han deler vurderingen og ikke er uenig i behovet for at udnytte torskens tilstedeværelse, mens mulighederne er der. </w:t>
      </w:r>
    </w:p>
    <w:p w14:paraId="21559005" w14:textId="77777777" w:rsidR="00EE1A66" w:rsidRPr="00363987" w:rsidRDefault="00EE1A66" w:rsidP="00EE1A66">
      <w:pPr>
        <w:spacing w:after="0"/>
        <w:rPr>
          <w:b/>
          <w:bCs/>
        </w:rPr>
      </w:pPr>
    </w:p>
    <w:p w14:paraId="48609229" w14:textId="77777777" w:rsidR="00363987" w:rsidRPr="00363987" w:rsidRDefault="00363987" w:rsidP="00363987">
      <w:pPr>
        <w:spacing w:after="0"/>
        <w:rPr>
          <w:b/>
          <w:bCs/>
        </w:rPr>
      </w:pPr>
      <w:r w:rsidRPr="00363987">
        <w:rPr>
          <w:b/>
          <w:bCs/>
        </w:rPr>
        <w:t>Ad 5. Fiskeriministerens tanker om Fiskeripolitik</w:t>
      </w:r>
    </w:p>
    <w:p w14:paraId="6CFE952C" w14:textId="36923A1C" w:rsidR="00527B10" w:rsidRDefault="00527B10" w:rsidP="00527B10">
      <w:pPr>
        <w:spacing w:after="0"/>
      </w:pPr>
      <w:r>
        <w:t xml:space="preserve">Ministeren henviste til koalitionsaftalen og bemærkede, at den stort set ikke indeholder konkrete aftaler eller retningslinjer for fiskeripolitikken. </w:t>
      </w:r>
    </w:p>
    <w:p w14:paraId="0B41C839" w14:textId="77777777" w:rsidR="00527B10" w:rsidRDefault="00527B10" w:rsidP="00527B10">
      <w:pPr>
        <w:spacing w:after="0"/>
      </w:pPr>
      <w:r>
        <w:t>Ministeren gjorde det dog klart, at selv om der er gældende love og bekendtgørelser, er disse ikke uforanderlige. Reglerne kan ændres og tilpasses i takt med udviklingen og behovene i fiskeriet. Han pointerede, at det afgørende er, at der sker løbende dialog med de relevante interessenter og aktører i fiskeriet for at finde de nødvendige tilpasninger.</w:t>
      </w:r>
    </w:p>
    <w:p w14:paraId="75AAF910" w14:textId="77777777" w:rsidR="00527B10" w:rsidRDefault="00527B10" w:rsidP="00527B10">
      <w:pPr>
        <w:spacing w:after="0"/>
      </w:pPr>
    </w:p>
    <w:p w14:paraId="1A553760" w14:textId="77777777" w:rsidR="00527B10" w:rsidRDefault="00527B10" w:rsidP="00527B10">
      <w:pPr>
        <w:spacing w:after="0"/>
      </w:pPr>
      <w:r>
        <w:t>Ministeren udtrykte et klart ønske om dialog og samarbejde med aktørerne i fiskeriet. Han fremhævede, at tilpasninger af fiskeripolitikken skal ske i et åbent samspil, hvor alle parter høres, og hvor hensynet til samfundets samlede gavn og bæredygtig udvikling skal være det overordnede mål.</w:t>
      </w:r>
    </w:p>
    <w:p w14:paraId="43CC5E66" w14:textId="77777777" w:rsidR="00363987" w:rsidRPr="00EE1A66" w:rsidRDefault="00363987" w:rsidP="00363987">
      <w:pPr>
        <w:spacing w:after="0"/>
      </w:pPr>
    </w:p>
    <w:p w14:paraId="7B3BA58A" w14:textId="2A267B51" w:rsidR="00EE1A66" w:rsidRPr="00527B10" w:rsidRDefault="00EE1A66" w:rsidP="00EE1A66">
      <w:pPr>
        <w:spacing w:after="0"/>
        <w:rPr>
          <w:b/>
          <w:bCs/>
        </w:rPr>
      </w:pPr>
      <w:r w:rsidRPr="00527B10">
        <w:rPr>
          <w:b/>
          <w:bCs/>
        </w:rPr>
        <w:t>Ad 6. Diskussion</w:t>
      </w:r>
    </w:p>
    <w:p w14:paraId="20960B4E" w14:textId="77777777" w:rsidR="00527B10" w:rsidRDefault="00527B10">
      <w:r>
        <w:t>Indeholdt i enkelte punkter.</w:t>
      </w:r>
    </w:p>
    <w:p w14:paraId="3A4A8676" w14:textId="3C189C7C" w:rsidR="00EE1A66" w:rsidRPr="00527B10" w:rsidRDefault="00EE1A66" w:rsidP="00EE1A66">
      <w:pPr>
        <w:spacing w:after="0"/>
        <w:rPr>
          <w:b/>
          <w:bCs/>
        </w:rPr>
      </w:pPr>
      <w:r w:rsidRPr="00527B10">
        <w:rPr>
          <w:b/>
          <w:bCs/>
        </w:rPr>
        <w:t>Ad 7. Evt. møde igen senere?</w:t>
      </w:r>
    </w:p>
    <w:p w14:paraId="1A9855B7" w14:textId="3782EC51" w:rsidR="00EE1A66" w:rsidRDefault="00527B10" w:rsidP="00EE1A66">
      <w:pPr>
        <w:spacing w:after="0"/>
      </w:pPr>
      <w:r>
        <w:t>BUFEGE gør opmærksom på, at det er interesseret i dialog med ministeren. De er klar hvis der ønskes fra ministerens side. Ministeren er meget åbent for at kunne mødtes igen til konkrete drøftelser.</w:t>
      </w:r>
    </w:p>
    <w:p w14:paraId="6D5F9BE1" w14:textId="596A97C7" w:rsidR="00527B10" w:rsidRDefault="00527B10" w:rsidP="00EE1A66">
      <w:pPr>
        <w:spacing w:after="0"/>
      </w:pPr>
      <w:r>
        <w:t>Fakta skal skabe fælles holdninger, faktisk er det som BUFEGE mener er vigtige at frembringe, således politikerne kan træffe beslutninger på et oplyst grundlag.</w:t>
      </w:r>
    </w:p>
    <w:p w14:paraId="6167F0F1" w14:textId="77777777" w:rsidR="00527B10" w:rsidRDefault="00527B10" w:rsidP="00EE1A66">
      <w:pPr>
        <w:spacing w:after="0"/>
      </w:pPr>
    </w:p>
    <w:p w14:paraId="0774D7D7" w14:textId="1B6473C1" w:rsidR="00527B10" w:rsidRDefault="00527B10" w:rsidP="00527B10">
      <w:pPr>
        <w:spacing w:after="0"/>
        <w:jc w:val="right"/>
      </w:pPr>
      <w:r>
        <w:t xml:space="preserve">/Ref. Bent Sørensen </w:t>
      </w:r>
    </w:p>
    <w:p w14:paraId="63C832BD" w14:textId="0E792110" w:rsidR="00527B10" w:rsidRDefault="00527B10">
      <w:r>
        <w:br w:type="page"/>
      </w:r>
    </w:p>
    <w:p w14:paraId="09720423" w14:textId="77777777" w:rsidR="00527B10"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r w:rsidRPr="00667404">
        <w:rPr>
          <w:rFonts w:ascii="Times New Roman" w:eastAsia="Times New Roman" w:hAnsi="Times New Roman" w:cs="Times New Roman"/>
          <w:b/>
          <w:bCs/>
          <w:kern w:val="0"/>
          <w:sz w:val="27"/>
          <w:szCs w:val="27"/>
          <w:lang w:eastAsia="da-DK"/>
          <w14:ligatures w14:val="none"/>
        </w:rPr>
        <w:lastRenderedPageBreak/>
        <w:t xml:space="preserve">Rejeafgiftssatser for </w:t>
      </w:r>
      <w:r>
        <w:rPr>
          <w:rFonts w:ascii="Times New Roman" w:eastAsia="Times New Roman" w:hAnsi="Times New Roman" w:cs="Times New Roman"/>
          <w:b/>
          <w:bCs/>
          <w:kern w:val="0"/>
          <w:sz w:val="27"/>
          <w:szCs w:val="27"/>
          <w:lang w:eastAsia="da-DK"/>
          <w14:ligatures w14:val="none"/>
        </w:rPr>
        <w:t xml:space="preserve">4 lande sammenlignet </w:t>
      </w:r>
    </w:p>
    <w:p w14:paraId="76157566" w14:textId="77777777" w:rsidR="00527B10" w:rsidRPr="0024495B" w:rsidRDefault="00527B10" w:rsidP="00527B10">
      <w:pPr>
        <w:spacing w:after="0" w:line="240" w:lineRule="auto"/>
        <w:outlineLvl w:val="2"/>
        <w:rPr>
          <w:rFonts w:ascii="Times New Roman" w:eastAsia="Times New Roman" w:hAnsi="Times New Roman" w:cs="Times New Roman"/>
          <w:kern w:val="0"/>
          <w:sz w:val="20"/>
          <w:szCs w:val="20"/>
          <w:lang w:eastAsia="da-DK"/>
          <w14:ligatures w14:val="none"/>
        </w:rPr>
      </w:pPr>
      <w:r w:rsidRPr="00667404">
        <w:rPr>
          <w:rFonts w:ascii="Times New Roman" w:eastAsia="Times New Roman" w:hAnsi="Times New Roman" w:cs="Times New Roman"/>
          <w:kern w:val="0"/>
          <w:sz w:val="20"/>
          <w:szCs w:val="20"/>
          <w:lang w:eastAsia="da-DK"/>
          <w14:ligatures w14:val="none"/>
        </w:rPr>
        <w:t>(2. kvartal 2025)</w:t>
      </w:r>
    </w:p>
    <w:p w14:paraId="3045BD39" w14:textId="77777777" w:rsidR="00527B10" w:rsidRPr="00667404"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r w:rsidRPr="00667404">
        <w:rPr>
          <w:rFonts w:ascii="Times New Roman" w:eastAsia="Times New Roman" w:hAnsi="Times New Roman" w:cs="Times New Roman"/>
          <w:b/>
          <w:bCs/>
          <w:kern w:val="0"/>
          <w:sz w:val="27"/>
          <w:szCs w:val="27"/>
          <w:lang w:eastAsia="da-DK"/>
          <w14:ligatures w14:val="none"/>
        </w:rPr>
        <w:t>Sammenligningstabel: Rejeafgiftssystemer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6"/>
        <w:gridCol w:w="2260"/>
        <w:gridCol w:w="2487"/>
        <w:gridCol w:w="1374"/>
        <w:gridCol w:w="2411"/>
      </w:tblGrid>
      <w:tr w:rsidR="00527B10" w:rsidRPr="00667404" w14:paraId="65B6F7E4" w14:textId="77777777" w:rsidTr="007F0056">
        <w:trPr>
          <w:tblHeader/>
          <w:tblCellSpacing w:w="15" w:type="dxa"/>
        </w:trPr>
        <w:tc>
          <w:tcPr>
            <w:tcW w:w="0" w:type="auto"/>
            <w:vAlign w:val="center"/>
            <w:hideMark/>
          </w:tcPr>
          <w:p w14:paraId="7E78EE39" w14:textId="77777777" w:rsidR="00527B10" w:rsidRPr="00667404" w:rsidRDefault="00527B10" w:rsidP="00527B10">
            <w:pPr>
              <w:spacing w:after="0" w:line="240" w:lineRule="auto"/>
              <w:jc w:val="center"/>
              <w:rPr>
                <w:rFonts w:ascii="Times New Roman" w:eastAsia="Times New Roman" w:hAnsi="Times New Roman" w:cs="Times New Roman"/>
                <w:b/>
                <w:bCs/>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Land</w:t>
            </w:r>
          </w:p>
        </w:tc>
        <w:tc>
          <w:tcPr>
            <w:tcW w:w="0" w:type="auto"/>
            <w:vAlign w:val="center"/>
            <w:hideMark/>
          </w:tcPr>
          <w:p w14:paraId="0057FB98" w14:textId="77777777" w:rsidR="00527B10" w:rsidRPr="00667404" w:rsidRDefault="00527B10" w:rsidP="00527B10">
            <w:pPr>
              <w:spacing w:after="0" w:line="240" w:lineRule="auto"/>
              <w:jc w:val="center"/>
              <w:rPr>
                <w:rFonts w:ascii="Times New Roman" w:eastAsia="Times New Roman" w:hAnsi="Times New Roman" w:cs="Times New Roman"/>
                <w:b/>
                <w:bCs/>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Afgiftstype</w:t>
            </w:r>
          </w:p>
        </w:tc>
        <w:tc>
          <w:tcPr>
            <w:tcW w:w="0" w:type="auto"/>
            <w:vAlign w:val="center"/>
            <w:hideMark/>
          </w:tcPr>
          <w:p w14:paraId="4A5BA580" w14:textId="77777777" w:rsidR="00527B10" w:rsidRPr="00667404" w:rsidRDefault="00527B10" w:rsidP="00527B10">
            <w:pPr>
              <w:spacing w:after="0" w:line="240" w:lineRule="auto"/>
              <w:jc w:val="center"/>
              <w:rPr>
                <w:rFonts w:ascii="Times New Roman" w:eastAsia="Times New Roman" w:hAnsi="Times New Roman" w:cs="Times New Roman"/>
                <w:b/>
                <w:bCs/>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Niveauspecifikationer</w:t>
            </w:r>
          </w:p>
        </w:tc>
        <w:tc>
          <w:tcPr>
            <w:tcW w:w="0" w:type="auto"/>
            <w:vAlign w:val="center"/>
            <w:hideMark/>
          </w:tcPr>
          <w:p w14:paraId="38E8EA95" w14:textId="77777777" w:rsidR="00527B10" w:rsidRPr="00667404" w:rsidRDefault="00527B10" w:rsidP="00527B10">
            <w:pPr>
              <w:spacing w:after="0" w:line="240" w:lineRule="auto"/>
              <w:jc w:val="center"/>
              <w:rPr>
                <w:rFonts w:ascii="Times New Roman" w:eastAsia="Times New Roman" w:hAnsi="Times New Roman" w:cs="Times New Roman"/>
                <w:b/>
                <w:bCs/>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Afgiftsbyrde</w:t>
            </w:r>
          </w:p>
        </w:tc>
        <w:tc>
          <w:tcPr>
            <w:tcW w:w="0" w:type="auto"/>
            <w:vAlign w:val="center"/>
            <w:hideMark/>
          </w:tcPr>
          <w:p w14:paraId="5A7C1824" w14:textId="77777777" w:rsidR="00527B10" w:rsidRPr="00667404" w:rsidRDefault="00527B10" w:rsidP="00527B10">
            <w:pPr>
              <w:spacing w:after="0" w:line="240" w:lineRule="auto"/>
              <w:jc w:val="center"/>
              <w:rPr>
                <w:rFonts w:ascii="Times New Roman" w:eastAsia="Times New Roman" w:hAnsi="Times New Roman" w:cs="Times New Roman"/>
                <w:b/>
                <w:bCs/>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Kommentar</w:t>
            </w:r>
          </w:p>
        </w:tc>
      </w:tr>
      <w:tr w:rsidR="00527B10" w:rsidRPr="00667404" w14:paraId="0F74D748" w14:textId="77777777" w:rsidTr="007F0056">
        <w:trPr>
          <w:tblCellSpacing w:w="15" w:type="dxa"/>
        </w:trPr>
        <w:tc>
          <w:tcPr>
            <w:tcW w:w="0" w:type="auto"/>
            <w:vAlign w:val="center"/>
            <w:hideMark/>
          </w:tcPr>
          <w:p w14:paraId="3750C55D"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Grønland</w:t>
            </w:r>
          </w:p>
        </w:tc>
        <w:tc>
          <w:tcPr>
            <w:tcW w:w="0" w:type="auto"/>
            <w:vAlign w:val="center"/>
            <w:hideMark/>
          </w:tcPr>
          <w:p w14:paraId="30B04AF7"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Ressourceafgift på fangst</w:t>
            </w:r>
          </w:p>
        </w:tc>
        <w:tc>
          <w:tcPr>
            <w:tcW w:w="0" w:type="auto"/>
            <w:vAlign w:val="center"/>
            <w:hideMark/>
          </w:tcPr>
          <w:p w14:paraId="7638B8D3"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 xml:space="preserve">Op til </w:t>
            </w:r>
            <w:r w:rsidRPr="00667404">
              <w:rPr>
                <w:rFonts w:ascii="Times New Roman" w:eastAsia="Times New Roman" w:hAnsi="Times New Roman" w:cs="Times New Roman"/>
                <w:b/>
                <w:bCs/>
                <w:kern w:val="0"/>
                <w:sz w:val="24"/>
                <w:szCs w:val="24"/>
                <w:lang w:eastAsia="da-DK"/>
                <w14:ligatures w14:val="none"/>
              </w:rPr>
              <w:t>5 %</w:t>
            </w:r>
            <w:r w:rsidRPr="00667404">
              <w:rPr>
                <w:rFonts w:ascii="Times New Roman" w:eastAsia="Times New Roman" w:hAnsi="Times New Roman" w:cs="Times New Roman"/>
                <w:kern w:val="0"/>
                <w:sz w:val="24"/>
                <w:szCs w:val="24"/>
                <w:lang w:eastAsia="da-DK"/>
                <w14:ligatures w14:val="none"/>
              </w:rPr>
              <w:t xml:space="preserve"> af salgsprisen (maks. 17,9 %)</w:t>
            </w:r>
          </w:p>
        </w:tc>
        <w:tc>
          <w:tcPr>
            <w:tcW w:w="0" w:type="auto"/>
            <w:vAlign w:val="center"/>
            <w:hideMark/>
          </w:tcPr>
          <w:p w14:paraId="79176159"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Høj</w:t>
            </w:r>
          </w:p>
        </w:tc>
        <w:tc>
          <w:tcPr>
            <w:tcW w:w="0" w:type="auto"/>
            <w:vAlign w:val="center"/>
            <w:hideMark/>
          </w:tcPr>
          <w:p w14:paraId="10FE865A"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Variabel model med høj top og direkte bundlinjepåvirkning.</w:t>
            </w:r>
          </w:p>
        </w:tc>
      </w:tr>
      <w:tr w:rsidR="00527B10" w:rsidRPr="00667404" w14:paraId="642A4C34" w14:textId="77777777" w:rsidTr="007F0056">
        <w:trPr>
          <w:tblCellSpacing w:w="15" w:type="dxa"/>
        </w:trPr>
        <w:tc>
          <w:tcPr>
            <w:tcW w:w="0" w:type="auto"/>
            <w:vAlign w:val="center"/>
            <w:hideMark/>
          </w:tcPr>
          <w:p w14:paraId="10739B8F"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Norge</w:t>
            </w:r>
          </w:p>
        </w:tc>
        <w:tc>
          <w:tcPr>
            <w:tcW w:w="0" w:type="auto"/>
            <w:vAlign w:val="center"/>
            <w:hideMark/>
          </w:tcPr>
          <w:p w14:paraId="3E236B7B"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Produktions- og ressourceafgifter</w:t>
            </w:r>
          </w:p>
        </w:tc>
        <w:tc>
          <w:tcPr>
            <w:tcW w:w="0" w:type="auto"/>
            <w:vAlign w:val="center"/>
            <w:hideMark/>
          </w:tcPr>
          <w:p w14:paraId="6FDF1FCD"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 xml:space="preserve">Samlet ca. </w:t>
            </w:r>
            <w:r w:rsidRPr="00667404">
              <w:rPr>
                <w:rFonts w:ascii="Times New Roman" w:eastAsia="Times New Roman" w:hAnsi="Times New Roman" w:cs="Times New Roman"/>
                <w:b/>
                <w:bCs/>
                <w:kern w:val="0"/>
                <w:sz w:val="24"/>
                <w:szCs w:val="24"/>
                <w:lang w:eastAsia="da-DK"/>
                <w14:ligatures w14:val="none"/>
              </w:rPr>
              <w:t>3,9 %</w:t>
            </w:r>
            <w:r w:rsidRPr="00667404">
              <w:rPr>
                <w:rFonts w:ascii="Times New Roman" w:eastAsia="Times New Roman" w:hAnsi="Times New Roman" w:cs="Times New Roman"/>
                <w:kern w:val="0"/>
                <w:sz w:val="24"/>
                <w:szCs w:val="24"/>
                <w:lang w:eastAsia="da-DK"/>
                <w14:ligatures w14:val="none"/>
              </w:rPr>
              <w:t xml:space="preserve"> + </w:t>
            </w:r>
            <w:r w:rsidRPr="00667404">
              <w:rPr>
                <w:rFonts w:ascii="Times New Roman" w:eastAsia="Times New Roman" w:hAnsi="Times New Roman" w:cs="Times New Roman"/>
                <w:b/>
                <w:bCs/>
                <w:kern w:val="0"/>
                <w:sz w:val="24"/>
                <w:szCs w:val="24"/>
                <w:lang w:eastAsia="da-DK"/>
                <w14:ligatures w14:val="none"/>
              </w:rPr>
              <w:t>moms 11,11 %</w:t>
            </w:r>
          </w:p>
        </w:tc>
        <w:tc>
          <w:tcPr>
            <w:tcW w:w="0" w:type="auto"/>
            <w:vAlign w:val="center"/>
            <w:hideMark/>
          </w:tcPr>
          <w:p w14:paraId="5DD3FEAC"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Høj</w:t>
            </w:r>
          </w:p>
        </w:tc>
        <w:tc>
          <w:tcPr>
            <w:tcW w:w="0" w:type="auto"/>
            <w:vAlign w:val="center"/>
            <w:hideMark/>
          </w:tcPr>
          <w:p w14:paraId="28DDE86C"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Flere afgifter + moms – belaster især ved store mængder.</w:t>
            </w:r>
          </w:p>
        </w:tc>
      </w:tr>
      <w:tr w:rsidR="00527B10" w:rsidRPr="00667404" w14:paraId="586E990F" w14:textId="77777777" w:rsidTr="007F0056">
        <w:trPr>
          <w:tblCellSpacing w:w="15" w:type="dxa"/>
        </w:trPr>
        <w:tc>
          <w:tcPr>
            <w:tcW w:w="0" w:type="auto"/>
            <w:vAlign w:val="center"/>
            <w:hideMark/>
          </w:tcPr>
          <w:p w14:paraId="45BA3FFB"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Island</w:t>
            </w:r>
          </w:p>
        </w:tc>
        <w:tc>
          <w:tcPr>
            <w:tcW w:w="0" w:type="auto"/>
            <w:vAlign w:val="center"/>
            <w:hideMark/>
          </w:tcPr>
          <w:p w14:paraId="153558E7"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Ressourceafgift (</w:t>
            </w:r>
            <w:proofErr w:type="spellStart"/>
            <w:r w:rsidRPr="00667404">
              <w:rPr>
                <w:rFonts w:ascii="Times New Roman" w:eastAsia="Times New Roman" w:hAnsi="Times New Roman" w:cs="Times New Roman"/>
                <w:kern w:val="0"/>
                <w:sz w:val="24"/>
                <w:szCs w:val="24"/>
                <w:lang w:eastAsia="da-DK"/>
                <w14:ligatures w14:val="none"/>
              </w:rPr>
              <w:t>veiðigjald</w:t>
            </w:r>
            <w:proofErr w:type="spellEnd"/>
            <w:r w:rsidRPr="00667404">
              <w:rPr>
                <w:rFonts w:ascii="Times New Roman" w:eastAsia="Times New Roman" w:hAnsi="Times New Roman" w:cs="Times New Roman"/>
                <w:kern w:val="0"/>
                <w:sz w:val="24"/>
                <w:szCs w:val="24"/>
                <w:lang w:eastAsia="da-DK"/>
                <w14:ligatures w14:val="none"/>
              </w:rPr>
              <w:t>)</w:t>
            </w:r>
          </w:p>
        </w:tc>
        <w:tc>
          <w:tcPr>
            <w:tcW w:w="0" w:type="auto"/>
            <w:vAlign w:val="center"/>
            <w:hideMark/>
          </w:tcPr>
          <w:p w14:paraId="3AA04BCB"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Varierer pr. kg – typisk 5–15 ISK/kg</w:t>
            </w:r>
          </w:p>
        </w:tc>
        <w:tc>
          <w:tcPr>
            <w:tcW w:w="0" w:type="auto"/>
            <w:vAlign w:val="center"/>
            <w:hideMark/>
          </w:tcPr>
          <w:p w14:paraId="3288753A"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Mellem</w:t>
            </w:r>
          </w:p>
        </w:tc>
        <w:tc>
          <w:tcPr>
            <w:tcW w:w="0" w:type="auto"/>
            <w:vAlign w:val="center"/>
            <w:hideMark/>
          </w:tcPr>
          <w:p w14:paraId="3805FAAD"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Fleksibelt men afhænger af myndighedens fastsatte satser.</w:t>
            </w:r>
          </w:p>
        </w:tc>
      </w:tr>
      <w:tr w:rsidR="00527B10" w:rsidRPr="00667404" w14:paraId="13CD1C19" w14:textId="77777777" w:rsidTr="007F0056">
        <w:trPr>
          <w:tblCellSpacing w:w="15" w:type="dxa"/>
        </w:trPr>
        <w:tc>
          <w:tcPr>
            <w:tcW w:w="0" w:type="auto"/>
            <w:vAlign w:val="center"/>
            <w:hideMark/>
          </w:tcPr>
          <w:p w14:paraId="25F2C8F7"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Canada</w:t>
            </w:r>
          </w:p>
        </w:tc>
        <w:tc>
          <w:tcPr>
            <w:tcW w:w="0" w:type="auto"/>
            <w:vAlign w:val="center"/>
            <w:hideMark/>
          </w:tcPr>
          <w:p w14:paraId="6E147083"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Licensgebyrer + evt. landingsovervågning</w:t>
            </w:r>
          </w:p>
        </w:tc>
        <w:tc>
          <w:tcPr>
            <w:tcW w:w="0" w:type="auto"/>
            <w:vAlign w:val="center"/>
            <w:hideMark/>
          </w:tcPr>
          <w:p w14:paraId="212D480E"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Fast lavt beløb</w:t>
            </w:r>
            <w:r w:rsidRPr="00667404">
              <w:rPr>
                <w:rFonts w:ascii="Times New Roman" w:eastAsia="Times New Roman" w:hAnsi="Times New Roman" w:cs="Times New Roman"/>
                <w:kern w:val="0"/>
                <w:sz w:val="24"/>
                <w:szCs w:val="24"/>
                <w:lang w:eastAsia="da-DK"/>
                <w14:ligatures w14:val="none"/>
              </w:rPr>
              <w:t xml:space="preserve"> ($119–384 CAD) + variabel</w:t>
            </w:r>
          </w:p>
        </w:tc>
        <w:tc>
          <w:tcPr>
            <w:tcW w:w="0" w:type="auto"/>
            <w:vAlign w:val="center"/>
            <w:hideMark/>
          </w:tcPr>
          <w:p w14:paraId="6131FB4E"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Lav</w:t>
            </w:r>
          </w:p>
        </w:tc>
        <w:tc>
          <w:tcPr>
            <w:tcW w:w="0" w:type="auto"/>
            <w:vAlign w:val="center"/>
            <w:hideMark/>
          </w:tcPr>
          <w:p w14:paraId="5582BE58"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Enkelt og lavt afgiftsniveau uden procentafgift af værdi.</w:t>
            </w:r>
          </w:p>
        </w:tc>
      </w:tr>
    </w:tbl>
    <w:p w14:paraId="3EBBB4A9" w14:textId="77777777" w:rsidR="00527B10" w:rsidRPr="00667404" w:rsidRDefault="00000000" w:rsidP="00527B10">
      <w:pPr>
        <w:spacing w:after="0" w:line="240"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pict w14:anchorId="290EF1D5">
          <v:rect id="_x0000_i1025" style="width:0;height:1.5pt" o:hralign="center" o:hrstd="t" o:hr="t" fillcolor="#a0a0a0" stroked="f"/>
        </w:pict>
      </w:r>
    </w:p>
    <w:p w14:paraId="420E9F78" w14:textId="77777777" w:rsidR="00527B10" w:rsidRPr="00667404"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r w:rsidRPr="00667404">
        <w:rPr>
          <w:rFonts w:ascii="Times New Roman" w:eastAsia="Times New Roman" w:hAnsi="Times New Roman" w:cs="Times New Roman"/>
          <w:b/>
          <w:bCs/>
          <w:kern w:val="0"/>
          <w:sz w:val="27"/>
          <w:szCs w:val="27"/>
          <w:lang w:eastAsia="da-DK"/>
          <w14:ligatures w14:val="none"/>
        </w:rPr>
        <w:t>Rangering af afgiftssystemer – fra hårdest til mest erhvervsvenlig</w:t>
      </w:r>
    </w:p>
    <w:p w14:paraId="4608A3E6" w14:textId="77777777" w:rsidR="00527B10" w:rsidRPr="00667404" w:rsidRDefault="00527B10" w:rsidP="00527B10">
      <w:pPr>
        <w:numPr>
          <w:ilvl w:val="0"/>
          <w:numId w:val="15"/>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Grønland</w:t>
      </w:r>
      <w:r w:rsidRPr="00667404">
        <w:rPr>
          <w:rFonts w:ascii="Times New Roman" w:eastAsia="Times New Roman" w:hAnsi="Times New Roman" w:cs="Times New Roman"/>
          <w:kern w:val="0"/>
          <w:sz w:val="24"/>
          <w:szCs w:val="24"/>
          <w:lang w:eastAsia="da-DK"/>
          <w14:ligatures w14:val="none"/>
        </w:rPr>
        <w:t xml:space="preserve"> – Høj variabel ressourceafgift på op til 17,9 %, direkte afhængig af markedspris.</w:t>
      </w:r>
    </w:p>
    <w:p w14:paraId="54847835" w14:textId="77777777" w:rsidR="00527B10" w:rsidRPr="00667404" w:rsidRDefault="00527B10" w:rsidP="00527B10">
      <w:pPr>
        <w:numPr>
          <w:ilvl w:val="0"/>
          <w:numId w:val="15"/>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Norge</w:t>
      </w:r>
      <w:r w:rsidRPr="00667404">
        <w:rPr>
          <w:rFonts w:ascii="Times New Roman" w:eastAsia="Times New Roman" w:hAnsi="Times New Roman" w:cs="Times New Roman"/>
          <w:kern w:val="0"/>
          <w:sz w:val="24"/>
          <w:szCs w:val="24"/>
          <w:lang w:eastAsia="da-DK"/>
          <w14:ligatures w14:val="none"/>
        </w:rPr>
        <w:t xml:space="preserve"> – Flere typer afgifter + høj moms gør den samlet belastende.</w:t>
      </w:r>
    </w:p>
    <w:p w14:paraId="7904784B" w14:textId="77777777" w:rsidR="00527B10" w:rsidRPr="00667404" w:rsidRDefault="00527B10" w:rsidP="00527B10">
      <w:pPr>
        <w:numPr>
          <w:ilvl w:val="0"/>
          <w:numId w:val="15"/>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Island</w:t>
      </w:r>
      <w:r w:rsidRPr="00667404">
        <w:rPr>
          <w:rFonts w:ascii="Times New Roman" w:eastAsia="Times New Roman" w:hAnsi="Times New Roman" w:cs="Times New Roman"/>
          <w:kern w:val="0"/>
          <w:sz w:val="24"/>
          <w:szCs w:val="24"/>
          <w:lang w:eastAsia="da-DK"/>
          <w14:ligatures w14:val="none"/>
        </w:rPr>
        <w:t xml:space="preserve"> – Moderat afgift baseret på markedspris, men forudsigelig.</w:t>
      </w:r>
    </w:p>
    <w:p w14:paraId="3B87DCCB" w14:textId="77777777" w:rsidR="00527B10" w:rsidRPr="00667404" w:rsidRDefault="00527B10" w:rsidP="00527B10">
      <w:pPr>
        <w:numPr>
          <w:ilvl w:val="0"/>
          <w:numId w:val="15"/>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Canada</w:t>
      </w:r>
      <w:r w:rsidRPr="00667404">
        <w:rPr>
          <w:rFonts w:ascii="Times New Roman" w:eastAsia="Times New Roman" w:hAnsi="Times New Roman" w:cs="Times New Roman"/>
          <w:kern w:val="0"/>
          <w:sz w:val="24"/>
          <w:szCs w:val="24"/>
          <w:lang w:eastAsia="da-DK"/>
          <w14:ligatures w14:val="none"/>
        </w:rPr>
        <w:t xml:space="preserve"> – Lav, fast licensmodel uden direkte afhængighed af fangstværdi.</w:t>
      </w:r>
    </w:p>
    <w:p w14:paraId="662E21D9" w14:textId="77777777" w:rsidR="00527B10" w:rsidRPr="00667404" w:rsidRDefault="00000000" w:rsidP="00527B10">
      <w:pPr>
        <w:spacing w:after="0" w:line="240" w:lineRule="auto"/>
        <w:rPr>
          <w:rFonts w:ascii="Times New Roman" w:eastAsia="Times New Roman" w:hAnsi="Times New Roman" w:cs="Times New Roman"/>
          <w:kern w:val="0"/>
          <w:sz w:val="24"/>
          <w:szCs w:val="24"/>
          <w:lang w:eastAsia="da-DK"/>
          <w14:ligatures w14:val="none"/>
        </w:rPr>
      </w:pPr>
      <w:r>
        <w:rPr>
          <w:rFonts w:ascii="Times New Roman" w:eastAsia="Times New Roman" w:hAnsi="Times New Roman" w:cs="Times New Roman"/>
          <w:kern w:val="0"/>
          <w:sz w:val="24"/>
          <w:szCs w:val="24"/>
          <w:lang w:eastAsia="da-DK"/>
          <w14:ligatures w14:val="none"/>
        </w:rPr>
        <w:pict w14:anchorId="3D604D6C">
          <v:rect id="_x0000_i1026" style="width:0;height:1.5pt" o:hralign="center" o:hrstd="t" o:hr="t" fillcolor="#a0a0a0" stroked="f"/>
        </w:pict>
      </w:r>
    </w:p>
    <w:p w14:paraId="12D57453" w14:textId="77777777" w:rsidR="00527B10" w:rsidRPr="00667404"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r w:rsidRPr="00667404">
        <w:rPr>
          <w:rFonts w:ascii="Times New Roman" w:eastAsia="Times New Roman" w:hAnsi="Times New Roman" w:cs="Times New Roman"/>
          <w:b/>
          <w:bCs/>
          <w:kern w:val="0"/>
          <w:sz w:val="27"/>
          <w:szCs w:val="27"/>
          <w:lang w:eastAsia="da-DK"/>
          <w14:ligatures w14:val="none"/>
        </w:rPr>
        <w:t>Konklusion</w:t>
      </w:r>
    </w:p>
    <w:p w14:paraId="21DC5C9C"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 xml:space="preserve">Grønlands rejeafgiftssystem er det </w:t>
      </w:r>
      <w:r w:rsidRPr="00667404">
        <w:rPr>
          <w:rFonts w:ascii="Times New Roman" w:eastAsia="Times New Roman" w:hAnsi="Times New Roman" w:cs="Times New Roman"/>
          <w:b/>
          <w:bCs/>
          <w:kern w:val="0"/>
          <w:sz w:val="24"/>
          <w:szCs w:val="24"/>
          <w:lang w:eastAsia="da-DK"/>
          <w14:ligatures w14:val="none"/>
        </w:rPr>
        <w:t>hårdeste</w:t>
      </w:r>
      <w:r w:rsidRPr="00667404">
        <w:rPr>
          <w:rFonts w:ascii="Times New Roman" w:eastAsia="Times New Roman" w:hAnsi="Times New Roman" w:cs="Times New Roman"/>
          <w:kern w:val="0"/>
          <w:sz w:val="24"/>
          <w:szCs w:val="24"/>
          <w:lang w:eastAsia="da-DK"/>
          <w14:ligatures w14:val="none"/>
        </w:rPr>
        <w:t xml:space="preserve"> for fiskerierhvervet, især når salgspriserne er høje, efterfulgt af Norges komplekse og afgiftstunge model. Island har en mellemposition med en balanceret, men afhængig struktur, mens Canada er klart </w:t>
      </w:r>
      <w:r w:rsidRPr="00667404">
        <w:rPr>
          <w:rFonts w:ascii="Times New Roman" w:eastAsia="Times New Roman" w:hAnsi="Times New Roman" w:cs="Times New Roman"/>
          <w:b/>
          <w:bCs/>
          <w:kern w:val="0"/>
          <w:sz w:val="24"/>
          <w:szCs w:val="24"/>
          <w:lang w:eastAsia="da-DK"/>
          <w14:ligatures w14:val="none"/>
        </w:rPr>
        <w:t>mest erhvervsvenlig</w:t>
      </w:r>
      <w:r w:rsidRPr="00667404">
        <w:rPr>
          <w:rFonts w:ascii="Times New Roman" w:eastAsia="Times New Roman" w:hAnsi="Times New Roman" w:cs="Times New Roman"/>
          <w:kern w:val="0"/>
          <w:sz w:val="24"/>
          <w:szCs w:val="24"/>
          <w:lang w:eastAsia="da-DK"/>
          <w14:ligatures w14:val="none"/>
        </w:rPr>
        <w:t xml:space="preserve"> med lave faste gebyrer og minimal kompleksitet.</w:t>
      </w:r>
    </w:p>
    <w:p w14:paraId="1DD998F4" w14:textId="77777777" w:rsidR="00527B10"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3FCD78AC" w14:textId="77777777" w:rsidR="00527B10"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489B2285" w14:textId="77777777" w:rsidR="00527B10" w:rsidRDefault="00527B10" w:rsidP="00527B10">
      <w:pPr>
        <w:spacing w:after="0"/>
        <w:rPr>
          <w:rFonts w:ascii="Times New Roman" w:eastAsia="Times New Roman" w:hAnsi="Times New Roman" w:cs="Times New Roman"/>
          <w:b/>
          <w:bCs/>
          <w:kern w:val="0"/>
          <w:sz w:val="27"/>
          <w:szCs w:val="27"/>
          <w:lang w:eastAsia="da-DK"/>
          <w14:ligatures w14:val="none"/>
        </w:rPr>
      </w:pPr>
      <w:r>
        <w:rPr>
          <w:rFonts w:ascii="Times New Roman" w:eastAsia="Times New Roman" w:hAnsi="Times New Roman" w:cs="Times New Roman"/>
          <w:b/>
          <w:bCs/>
          <w:kern w:val="0"/>
          <w:sz w:val="27"/>
          <w:szCs w:val="27"/>
          <w:lang w:eastAsia="da-DK"/>
          <w14:ligatures w14:val="none"/>
        </w:rPr>
        <w:br w:type="page"/>
      </w:r>
    </w:p>
    <w:p w14:paraId="02881F76" w14:textId="77777777" w:rsidR="00527B10"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3B2BAEDC" w14:textId="77777777" w:rsidR="00527B10" w:rsidRPr="0024495B" w:rsidRDefault="00527B10" w:rsidP="00527B10">
      <w:pPr>
        <w:spacing w:after="0" w:line="240" w:lineRule="auto"/>
        <w:outlineLvl w:val="2"/>
        <w:rPr>
          <w:rFonts w:ascii="Times New Roman" w:eastAsia="Times New Roman" w:hAnsi="Times New Roman" w:cs="Times New Roman"/>
          <w:b/>
          <w:bCs/>
          <w:kern w:val="0"/>
          <w:sz w:val="27"/>
          <w:szCs w:val="27"/>
          <w:u w:val="single"/>
          <w:lang w:eastAsia="da-DK"/>
          <w14:ligatures w14:val="none"/>
        </w:rPr>
      </w:pPr>
      <w:r w:rsidRPr="0024495B">
        <w:rPr>
          <w:rFonts w:ascii="Times New Roman" w:eastAsia="Times New Roman" w:hAnsi="Times New Roman" w:cs="Times New Roman"/>
          <w:b/>
          <w:bCs/>
          <w:kern w:val="0"/>
          <w:sz w:val="27"/>
          <w:szCs w:val="27"/>
          <w:u w:val="single"/>
          <w:lang w:eastAsia="da-DK"/>
          <w14:ligatures w14:val="none"/>
        </w:rPr>
        <w:t>Bilag af rejeafgiftsregimer i enkelte lande.</w:t>
      </w:r>
    </w:p>
    <w:p w14:paraId="15E00239" w14:textId="77777777" w:rsidR="00527B10" w:rsidRPr="00667404" w:rsidRDefault="00527B10" w:rsidP="00527B10">
      <w:pPr>
        <w:spacing w:after="0" w:line="240" w:lineRule="auto"/>
        <w:outlineLvl w:val="2"/>
        <w:rPr>
          <w:rFonts w:ascii="Times New Roman" w:eastAsia="Times New Roman" w:hAnsi="Times New Roman" w:cs="Times New Roman"/>
          <w:b/>
          <w:bCs/>
          <w:kern w:val="0"/>
          <w:sz w:val="27"/>
          <w:szCs w:val="27"/>
          <w:u w:val="single"/>
          <w:lang w:eastAsia="da-DK"/>
          <w14:ligatures w14:val="none"/>
        </w:rPr>
      </w:pPr>
      <w:r w:rsidRPr="0024495B">
        <w:rPr>
          <w:rFonts w:ascii="Times New Roman" w:eastAsia="Times New Roman" w:hAnsi="Times New Roman" w:cs="Times New Roman"/>
          <w:b/>
          <w:bCs/>
          <w:kern w:val="0"/>
          <w:sz w:val="27"/>
          <w:szCs w:val="27"/>
          <w:u w:val="single"/>
          <w:lang w:eastAsia="da-DK"/>
          <w14:ligatures w14:val="none"/>
        </w:rPr>
        <w:t>Grønland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6"/>
        <w:gridCol w:w="2748"/>
      </w:tblGrid>
      <w:tr w:rsidR="00527B10" w:rsidRPr="00667404" w14:paraId="1DB887D7" w14:textId="77777777" w:rsidTr="007F0056">
        <w:trPr>
          <w:tblHeader/>
          <w:tblCellSpacing w:w="15" w:type="dxa"/>
        </w:trPr>
        <w:tc>
          <w:tcPr>
            <w:tcW w:w="0" w:type="auto"/>
            <w:vAlign w:val="center"/>
            <w:hideMark/>
          </w:tcPr>
          <w:p w14:paraId="4DC1F616" w14:textId="77777777" w:rsidR="00527B10" w:rsidRPr="00667404" w:rsidRDefault="00527B10" w:rsidP="00527B10">
            <w:pPr>
              <w:spacing w:after="0" w:line="240" w:lineRule="auto"/>
              <w:jc w:val="center"/>
              <w:rPr>
                <w:rFonts w:ascii="Times New Roman" w:eastAsia="Times New Roman" w:hAnsi="Times New Roman" w:cs="Times New Roman"/>
                <w:b/>
                <w:bCs/>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Gennemsnitlig salgspris pr. kg</w:t>
            </w:r>
          </w:p>
        </w:tc>
        <w:tc>
          <w:tcPr>
            <w:tcW w:w="0" w:type="auto"/>
            <w:vAlign w:val="center"/>
            <w:hideMark/>
          </w:tcPr>
          <w:p w14:paraId="250A785F" w14:textId="77777777" w:rsidR="00527B10" w:rsidRPr="00667404" w:rsidRDefault="00527B10" w:rsidP="00527B10">
            <w:pPr>
              <w:spacing w:after="0" w:line="240" w:lineRule="auto"/>
              <w:jc w:val="center"/>
              <w:rPr>
                <w:rFonts w:ascii="Times New Roman" w:eastAsia="Times New Roman" w:hAnsi="Times New Roman" w:cs="Times New Roman"/>
                <w:b/>
                <w:bCs/>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Afgiftssats</w:t>
            </w:r>
          </w:p>
        </w:tc>
      </w:tr>
      <w:tr w:rsidR="00527B10" w:rsidRPr="00667404" w14:paraId="7FF3EB22" w14:textId="77777777" w:rsidTr="007F0056">
        <w:trPr>
          <w:tblCellSpacing w:w="15" w:type="dxa"/>
        </w:trPr>
        <w:tc>
          <w:tcPr>
            <w:tcW w:w="0" w:type="auto"/>
            <w:vAlign w:val="center"/>
            <w:hideMark/>
          </w:tcPr>
          <w:p w14:paraId="4B4006D7"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0,00 – 7,99 kr.</w:t>
            </w:r>
          </w:p>
        </w:tc>
        <w:tc>
          <w:tcPr>
            <w:tcW w:w="0" w:type="auto"/>
            <w:vAlign w:val="center"/>
            <w:hideMark/>
          </w:tcPr>
          <w:p w14:paraId="725347BC"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0,05 kr. pr. kg</w:t>
            </w:r>
          </w:p>
        </w:tc>
      </w:tr>
      <w:tr w:rsidR="00527B10" w:rsidRPr="00667404" w14:paraId="2A2D134C" w14:textId="77777777" w:rsidTr="007F0056">
        <w:trPr>
          <w:tblCellSpacing w:w="15" w:type="dxa"/>
        </w:trPr>
        <w:tc>
          <w:tcPr>
            <w:tcW w:w="0" w:type="auto"/>
            <w:vAlign w:val="center"/>
            <w:hideMark/>
          </w:tcPr>
          <w:p w14:paraId="4B9070A9"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8,00 kr. eller mere</w:t>
            </w:r>
          </w:p>
        </w:tc>
        <w:tc>
          <w:tcPr>
            <w:tcW w:w="0" w:type="auto"/>
            <w:vAlign w:val="center"/>
            <w:hideMark/>
          </w:tcPr>
          <w:p w14:paraId="7F3EE03A" w14:textId="77777777"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5,00 % af salgsprisen pr. kg</w:t>
            </w:r>
          </w:p>
        </w:tc>
      </w:tr>
    </w:tbl>
    <w:p w14:paraId="1E4A18C3" w14:textId="22CC1672"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i/>
          <w:iCs/>
          <w:kern w:val="0"/>
          <w:sz w:val="24"/>
          <w:szCs w:val="24"/>
          <w:lang w:eastAsia="da-DK"/>
          <w14:ligatures w14:val="none"/>
        </w:rPr>
        <w:t>Kilde: Skattestyrelsen, marts 2025</w:t>
      </w:r>
      <w:r w:rsidRPr="00667404">
        <w:rPr>
          <w:rFonts w:ascii="Times New Roman" w:eastAsia="Times New Roman" w:hAnsi="Times New Roman" w:cs="Times New Roman"/>
          <w:kern w:val="0"/>
          <w:sz w:val="24"/>
          <w:szCs w:val="24"/>
          <w:lang w:eastAsia="da-DK"/>
          <w14:ligatures w14:val="none"/>
        </w:rPr>
        <w:t xml:space="preserve"> </w:t>
      </w:r>
    </w:p>
    <w:p w14:paraId="1BA4B5A0" w14:textId="77777777" w:rsidR="00527B10" w:rsidRPr="00667404"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r w:rsidRPr="00667404">
        <w:rPr>
          <w:rFonts w:ascii="Times New Roman" w:eastAsia="Times New Roman" w:hAnsi="Times New Roman" w:cs="Times New Roman"/>
          <w:b/>
          <w:bCs/>
          <w:kern w:val="0"/>
          <w:sz w:val="27"/>
          <w:szCs w:val="27"/>
          <w:lang w:eastAsia="da-DK"/>
          <w14:ligatures w14:val="none"/>
        </w:rPr>
        <w:t>Beregningseksempel</w:t>
      </w:r>
    </w:p>
    <w:p w14:paraId="18D88B3A" w14:textId="0FB690A8"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Hvis en trawler indhandler 1.000 tons (1.000.000 kg) rejer til en gennemsnitlig pris på 10 kr. pr. kg, beregnes afgiften således:</w:t>
      </w:r>
      <w:r w:rsidR="00DF0770" w:rsidRPr="00667404">
        <w:rPr>
          <w:rFonts w:ascii="Times New Roman" w:eastAsia="Times New Roman" w:hAnsi="Times New Roman" w:cs="Times New Roman"/>
          <w:kern w:val="0"/>
          <w:sz w:val="24"/>
          <w:szCs w:val="24"/>
          <w:lang w:eastAsia="da-DK"/>
          <w14:ligatures w14:val="none"/>
        </w:rPr>
        <w:t xml:space="preserve"> </w:t>
      </w:r>
    </w:p>
    <w:p w14:paraId="4661EA37" w14:textId="77777777" w:rsidR="00527B10" w:rsidRPr="00667404" w:rsidRDefault="00527B10" w:rsidP="00527B10">
      <w:pPr>
        <w:numPr>
          <w:ilvl w:val="0"/>
          <w:numId w:val="5"/>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Afgiftssats</w:t>
      </w:r>
      <w:r w:rsidRPr="00667404">
        <w:rPr>
          <w:rFonts w:ascii="Times New Roman" w:eastAsia="Times New Roman" w:hAnsi="Times New Roman" w:cs="Times New Roman"/>
          <w:kern w:val="0"/>
          <w:sz w:val="24"/>
          <w:szCs w:val="24"/>
          <w:lang w:eastAsia="da-DK"/>
          <w14:ligatures w14:val="none"/>
        </w:rPr>
        <w:t>: 5 % af salgsprisen</w:t>
      </w:r>
    </w:p>
    <w:p w14:paraId="35631806" w14:textId="77777777" w:rsidR="00527B10" w:rsidRPr="00667404" w:rsidRDefault="00527B10" w:rsidP="00527B10">
      <w:pPr>
        <w:numPr>
          <w:ilvl w:val="0"/>
          <w:numId w:val="5"/>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Samlet salgspris</w:t>
      </w:r>
      <w:r w:rsidRPr="00667404">
        <w:rPr>
          <w:rFonts w:ascii="Times New Roman" w:eastAsia="Times New Roman" w:hAnsi="Times New Roman" w:cs="Times New Roman"/>
          <w:kern w:val="0"/>
          <w:sz w:val="24"/>
          <w:szCs w:val="24"/>
          <w:lang w:eastAsia="da-DK"/>
          <w14:ligatures w14:val="none"/>
        </w:rPr>
        <w:t>: 1.000.000 kg × 10 kr. = 10.000.000 kr.</w:t>
      </w:r>
    </w:p>
    <w:p w14:paraId="359D6211" w14:textId="259BBEF8" w:rsidR="00527B10" w:rsidRPr="00667404" w:rsidRDefault="00527B10" w:rsidP="00527B10">
      <w:pPr>
        <w:numPr>
          <w:ilvl w:val="0"/>
          <w:numId w:val="5"/>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Afgift</w:t>
      </w:r>
      <w:r w:rsidRPr="00667404">
        <w:rPr>
          <w:rFonts w:ascii="Times New Roman" w:eastAsia="Times New Roman" w:hAnsi="Times New Roman" w:cs="Times New Roman"/>
          <w:kern w:val="0"/>
          <w:sz w:val="24"/>
          <w:szCs w:val="24"/>
          <w:lang w:eastAsia="da-DK"/>
          <w14:ligatures w14:val="none"/>
        </w:rPr>
        <w:t>: 10.000.000 kr. × 5 % = 500.000 kr.</w:t>
      </w:r>
      <w:r w:rsidR="00DF0770" w:rsidRPr="00667404">
        <w:rPr>
          <w:rFonts w:ascii="Times New Roman" w:eastAsia="Times New Roman" w:hAnsi="Times New Roman" w:cs="Times New Roman"/>
          <w:kern w:val="0"/>
          <w:sz w:val="24"/>
          <w:szCs w:val="24"/>
          <w:lang w:eastAsia="da-DK"/>
          <w14:ligatures w14:val="none"/>
        </w:rPr>
        <w:t xml:space="preserve"> </w:t>
      </w:r>
    </w:p>
    <w:p w14:paraId="71C7EF61" w14:textId="77777777" w:rsidR="00527B10" w:rsidRPr="00667404"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r w:rsidRPr="00667404">
        <w:rPr>
          <w:rFonts w:ascii="Times New Roman" w:eastAsia="Times New Roman" w:hAnsi="Times New Roman" w:cs="Times New Roman"/>
          <w:b/>
          <w:bCs/>
          <w:kern w:val="0"/>
          <w:sz w:val="27"/>
          <w:szCs w:val="27"/>
          <w:lang w:eastAsia="da-DK"/>
          <w14:ligatures w14:val="none"/>
        </w:rPr>
        <w:t>Afgiftsmodel og -principper</w:t>
      </w:r>
    </w:p>
    <w:p w14:paraId="1E3747D6" w14:textId="77777777" w:rsidR="00527B10" w:rsidRPr="00667404" w:rsidRDefault="00527B10" w:rsidP="00527B10">
      <w:pPr>
        <w:numPr>
          <w:ilvl w:val="0"/>
          <w:numId w:val="6"/>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Afgiftspligt</w:t>
      </w:r>
      <w:r w:rsidRPr="00667404">
        <w:rPr>
          <w:rFonts w:ascii="Times New Roman" w:eastAsia="Times New Roman" w:hAnsi="Times New Roman" w:cs="Times New Roman"/>
          <w:kern w:val="0"/>
          <w:sz w:val="24"/>
          <w:szCs w:val="24"/>
          <w:lang w:eastAsia="da-DK"/>
          <w14:ligatures w14:val="none"/>
        </w:rPr>
        <w:t>: Afgiften pålægges ved indhandling til et indhandlings- eller produktionsanlæg i Grønland, ved overdragelse til tredjemand eller ved udførsel af fangsten fra Grønland.</w:t>
      </w:r>
    </w:p>
    <w:p w14:paraId="49CBB049" w14:textId="77777777" w:rsidR="00527B10" w:rsidRPr="00667404" w:rsidRDefault="00527B10" w:rsidP="00527B10">
      <w:pPr>
        <w:numPr>
          <w:ilvl w:val="0"/>
          <w:numId w:val="6"/>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Afgiftsgrundlag</w:t>
      </w:r>
      <w:r w:rsidRPr="00667404">
        <w:rPr>
          <w:rFonts w:ascii="Times New Roman" w:eastAsia="Times New Roman" w:hAnsi="Times New Roman" w:cs="Times New Roman"/>
          <w:kern w:val="0"/>
          <w:sz w:val="24"/>
          <w:szCs w:val="24"/>
          <w:lang w:eastAsia="da-DK"/>
          <w14:ligatures w14:val="none"/>
        </w:rPr>
        <w:t xml:space="preserve">: Salgsprisen inkluderer eventuelle tillæg som bonusser og transporttilskud og ekskluderer </w:t>
      </w:r>
      <w:proofErr w:type="spellStart"/>
      <w:r w:rsidRPr="00667404">
        <w:rPr>
          <w:rFonts w:ascii="Times New Roman" w:eastAsia="Times New Roman" w:hAnsi="Times New Roman" w:cs="Times New Roman"/>
          <w:kern w:val="0"/>
          <w:sz w:val="24"/>
          <w:szCs w:val="24"/>
          <w:lang w:eastAsia="da-DK"/>
          <w14:ligatures w14:val="none"/>
        </w:rPr>
        <w:t>salgsomkostninger</w:t>
      </w:r>
      <w:proofErr w:type="spellEnd"/>
      <w:r w:rsidRPr="00667404">
        <w:rPr>
          <w:rFonts w:ascii="Times New Roman" w:eastAsia="Times New Roman" w:hAnsi="Times New Roman" w:cs="Times New Roman"/>
          <w:kern w:val="0"/>
          <w:sz w:val="24"/>
          <w:szCs w:val="24"/>
          <w:lang w:eastAsia="da-DK"/>
          <w14:ligatures w14:val="none"/>
        </w:rPr>
        <w:t xml:space="preserve"> og fragt.</w:t>
      </w:r>
    </w:p>
    <w:p w14:paraId="2636CEAB" w14:textId="77777777" w:rsidR="00527B10" w:rsidRPr="00667404" w:rsidRDefault="00527B10" w:rsidP="00527B10">
      <w:pPr>
        <w:numPr>
          <w:ilvl w:val="0"/>
          <w:numId w:val="6"/>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Maksimal afgiftssats</w:t>
      </w:r>
      <w:r w:rsidRPr="00667404">
        <w:rPr>
          <w:rFonts w:ascii="Times New Roman" w:eastAsia="Times New Roman" w:hAnsi="Times New Roman" w:cs="Times New Roman"/>
          <w:kern w:val="0"/>
          <w:sz w:val="24"/>
          <w:szCs w:val="24"/>
          <w:lang w:eastAsia="da-DK"/>
          <w14:ligatures w14:val="none"/>
        </w:rPr>
        <w:t>: Afgiften kan ikke overstige 17,9 % af salgsprisen.</w:t>
      </w:r>
    </w:p>
    <w:p w14:paraId="1FA32A0C" w14:textId="2BACBAE6" w:rsidR="00527B10" w:rsidRPr="00667404" w:rsidRDefault="00527B10" w:rsidP="00527B10">
      <w:pPr>
        <w:numPr>
          <w:ilvl w:val="0"/>
          <w:numId w:val="6"/>
        </w:num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b/>
          <w:bCs/>
          <w:kern w:val="0"/>
          <w:sz w:val="24"/>
          <w:szCs w:val="24"/>
          <w:lang w:eastAsia="da-DK"/>
          <w14:ligatures w14:val="none"/>
        </w:rPr>
        <w:t>Offentliggørelse</w:t>
      </w:r>
      <w:r w:rsidRPr="00667404">
        <w:rPr>
          <w:rFonts w:ascii="Times New Roman" w:eastAsia="Times New Roman" w:hAnsi="Times New Roman" w:cs="Times New Roman"/>
          <w:kern w:val="0"/>
          <w:sz w:val="24"/>
          <w:szCs w:val="24"/>
          <w:lang w:eastAsia="da-DK"/>
          <w14:ligatures w14:val="none"/>
        </w:rPr>
        <w:t>: Afgiftssatserne offentliggøres af Skattestyrelsen senest en uge før kvartalets begyndelse.</w:t>
      </w:r>
      <w:r w:rsidR="00DF0770" w:rsidRPr="00667404">
        <w:rPr>
          <w:rFonts w:ascii="Times New Roman" w:eastAsia="Times New Roman" w:hAnsi="Times New Roman" w:cs="Times New Roman"/>
          <w:kern w:val="0"/>
          <w:sz w:val="24"/>
          <w:szCs w:val="24"/>
          <w:lang w:eastAsia="da-DK"/>
          <w14:ligatures w14:val="none"/>
        </w:rPr>
        <w:t xml:space="preserve"> </w:t>
      </w:r>
    </w:p>
    <w:p w14:paraId="5190E37A" w14:textId="1C8AC0EE" w:rsidR="00527B10"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i/>
          <w:iCs/>
          <w:kern w:val="0"/>
          <w:sz w:val="24"/>
          <w:szCs w:val="24"/>
          <w:lang w:eastAsia="da-DK"/>
          <w14:ligatures w14:val="none"/>
        </w:rPr>
        <w:t xml:space="preserve">Kilde: </w:t>
      </w:r>
      <w:proofErr w:type="spellStart"/>
      <w:r w:rsidRPr="00667404">
        <w:rPr>
          <w:rFonts w:ascii="Times New Roman" w:eastAsia="Times New Roman" w:hAnsi="Times New Roman" w:cs="Times New Roman"/>
          <w:i/>
          <w:iCs/>
          <w:kern w:val="0"/>
          <w:sz w:val="24"/>
          <w:szCs w:val="24"/>
          <w:lang w:eastAsia="da-DK"/>
          <w14:ligatures w14:val="none"/>
        </w:rPr>
        <w:t>Inatsisartutlov</w:t>
      </w:r>
      <w:proofErr w:type="spellEnd"/>
      <w:r w:rsidRPr="00667404">
        <w:rPr>
          <w:rFonts w:ascii="Times New Roman" w:eastAsia="Times New Roman" w:hAnsi="Times New Roman" w:cs="Times New Roman"/>
          <w:i/>
          <w:iCs/>
          <w:kern w:val="0"/>
          <w:sz w:val="24"/>
          <w:szCs w:val="24"/>
          <w:lang w:eastAsia="da-DK"/>
          <w14:ligatures w14:val="none"/>
        </w:rPr>
        <w:t xml:space="preserve"> om ressourceafgift på grønlandsk fiskeri</w:t>
      </w:r>
      <w:r w:rsidRPr="00667404">
        <w:rPr>
          <w:rFonts w:ascii="Times New Roman" w:eastAsia="Times New Roman" w:hAnsi="Times New Roman" w:cs="Times New Roman"/>
          <w:kern w:val="0"/>
          <w:sz w:val="24"/>
          <w:szCs w:val="24"/>
          <w:lang w:eastAsia="da-DK"/>
          <w14:ligatures w14:val="none"/>
        </w:rPr>
        <w:t xml:space="preserve"> </w:t>
      </w:r>
    </w:p>
    <w:p w14:paraId="43976278" w14:textId="77777777" w:rsidR="00DF0770" w:rsidRPr="00667404" w:rsidRDefault="00DF0770" w:rsidP="00527B10">
      <w:pPr>
        <w:spacing w:after="0" w:line="240" w:lineRule="auto"/>
        <w:rPr>
          <w:rFonts w:ascii="Times New Roman" w:eastAsia="Times New Roman" w:hAnsi="Times New Roman" w:cs="Times New Roman"/>
          <w:kern w:val="0"/>
          <w:sz w:val="24"/>
          <w:szCs w:val="24"/>
          <w:lang w:eastAsia="da-DK"/>
          <w14:ligatures w14:val="none"/>
        </w:rPr>
      </w:pPr>
    </w:p>
    <w:p w14:paraId="3E73A659" w14:textId="77777777" w:rsidR="00527B10" w:rsidRPr="00667404"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r w:rsidRPr="00667404">
        <w:rPr>
          <w:rFonts w:ascii="Times New Roman" w:eastAsia="Times New Roman" w:hAnsi="Times New Roman" w:cs="Times New Roman"/>
          <w:b/>
          <w:bCs/>
          <w:kern w:val="0"/>
          <w:sz w:val="27"/>
          <w:szCs w:val="27"/>
          <w:lang w:eastAsia="da-DK"/>
          <w14:ligatures w14:val="none"/>
        </w:rPr>
        <w:t>Kvotetildeling under IOK-ordningen</w:t>
      </w:r>
    </w:p>
    <w:p w14:paraId="75C174CD" w14:textId="7D52996A"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Det havgående rejefiskeri i Grønland er underlagt ordningen med Individuelle Omsættelige Kvoter (IOK). Kvoterne tildeles baseret på den enkelte aktørs andel af den samlede tilladte fangstmængde (TAC) i det foregående år. For 2025 er TAC for rejer i Vestgrønland fastsat til 80.000 tons.</w:t>
      </w:r>
      <w:r w:rsidR="00DF0770" w:rsidRPr="00667404">
        <w:rPr>
          <w:rFonts w:ascii="Times New Roman" w:eastAsia="Times New Roman" w:hAnsi="Times New Roman" w:cs="Times New Roman"/>
          <w:kern w:val="0"/>
          <w:sz w:val="24"/>
          <w:szCs w:val="24"/>
          <w:lang w:eastAsia="da-DK"/>
          <w14:ligatures w14:val="none"/>
        </w:rPr>
        <w:t xml:space="preserve"> </w:t>
      </w:r>
    </w:p>
    <w:p w14:paraId="19AADFD3" w14:textId="64D46C8B" w:rsidR="00527B10" w:rsidRPr="00667404" w:rsidRDefault="00527B10" w:rsidP="00527B10">
      <w:pPr>
        <w:spacing w:after="0" w:line="240" w:lineRule="auto"/>
        <w:rPr>
          <w:rFonts w:ascii="Times New Roman" w:eastAsia="Times New Roman" w:hAnsi="Times New Roman" w:cs="Times New Roman"/>
          <w:kern w:val="0"/>
          <w:sz w:val="24"/>
          <w:szCs w:val="24"/>
          <w:lang w:val="en-US" w:eastAsia="da-DK"/>
          <w14:ligatures w14:val="none"/>
        </w:rPr>
      </w:pPr>
      <w:r w:rsidRPr="00667404">
        <w:rPr>
          <w:rFonts w:ascii="Times New Roman" w:eastAsia="Times New Roman" w:hAnsi="Times New Roman" w:cs="Times New Roman"/>
          <w:i/>
          <w:iCs/>
          <w:kern w:val="0"/>
          <w:sz w:val="24"/>
          <w:szCs w:val="24"/>
          <w:lang w:val="en-US" w:eastAsia="da-DK"/>
          <w14:ligatures w14:val="none"/>
        </w:rPr>
        <w:t xml:space="preserve">Kilde: </w:t>
      </w:r>
      <w:proofErr w:type="spellStart"/>
      <w:r w:rsidRPr="00667404">
        <w:rPr>
          <w:rFonts w:ascii="Times New Roman" w:eastAsia="Times New Roman" w:hAnsi="Times New Roman" w:cs="Times New Roman"/>
          <w:i/>
          <w:iCs/>
          <w:kern w:val="0"/>
          <w:sz w:val="24"/>
          <w:szCs w:val="24"/>
          <w:lang w:val="en-US" w:eastAsia="da-DK"/>
          <w14:ligatures w14:val="none"/>
        </w:rPr>
        <w:t>Naalakkersuisut</w:t>
      </w:r>
      <w:proofErr w:type="spellEnd"/>
      <w:r w:rsidRPr="00667404">
        <w:rPr>
          <w:rFonts w:ascii="Times New Roman" w:eastAsia="Times New Roman" w:hAnsi="Times New Roman" w:cs="Times New Roman"/>
          <w:i/>
          <w:iCs/>
          <w:kern w:val="0"/>
          <w:sz w:val="24"/>
          <w:szCs w:val="24"/>
          <w:lang w:val="en-US" w:eastAsia="da-DK"/>
          <w14:ligatures w14:val="none"/>
        </w:rPr>
        <w:t xml:space="preserve">, </w:t>
      </w:r>
      <w:proofErr w:type="spellStart"/>
      <w:r w:rsidRPr="00667404">
        <w:rPr>
          <w:rFonts w:ascii="Times New Roman" w:eastAsia="Times New Roman" w:hAnsi="Times New Roman" w:cs="Times New Roman"/>
          <w:i/>
          <w:iCs/>
          <w:kern w:val="0"/>
          <w:sz w:val="24"/>
          <w:szCs w:val="24"/>
          <w:lang w:val="en-US" w:eastAsia="da-DK"/>
          <w14:ligatures w14:val="none"/>
        </w:rPr>
        <w:t>december</w:t>
      </w:r>
      <w:proofErr w:type="spellEnd"/>
      <w:r w:rsidRPr="00667404">
        <w:rPr>
          <w:rFonts w:ascii="Times New Roman" w:eastAsia="Times New Roman" w:hAnsi="Times New Roman" w:cs="Times New Roman"/>
          <w:i/>
          <w:iCs/>
          <w:kern w:val="0"/>
          <w:sz w:val="24"/>
          <w:szCs w:val="24"/>
          <w:lang w:val="en-US" w:eastAsia="da-DK"/>
          <w14:ligatures w14:val="none"/>
        </w:rPr>
        <w:t xml:space="preserve"> 2024</w:t>
      </w:r>
      <w:r w:rsidRPr="00667404">
        <w:rPr>
          <w:rFonts w:ascii="Times New Roman" w:eastAsia="Times New Roman" w:hAnsi="Times New Roman" w:cs="Times New Roman"/>
          <w:kern w:val="0"/>
          <w:sz w:val="24"/>
          <w:szCs w:val="24"/>
          <w:lang w:val="en-US" w:eastAsia="da-DK"/>
          <w14:ligatures w14:val="none"/>
        </w:rPr>
        <w:t xml:space="preserve"> </w:t>
      </w:r>
    </w:p>
    <w:p w14:paraId="4B59652A" w14:textId="77777777" w:rsidR="00527B10" w:rsidRPr="00667404"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r w:rsidRPr="00667404">
        <w:rPr>
          <w:rFonts w:ascii="Times New Roman" w:eastAsia="Times New Roman" w:hAnsi="Times New Roman" w:cs="Times New Roman"/>
          <w:b/>
          <w:bCs/>
          <w:kern w:val="0"/>
          <w:sz w:val="27"/>
          <w:szCs w:val="27"/>
          <w:lang w:eastAsia="da-DK"/>
          <w14:ligatures w14:val="none"/>
        </w:rPr>
        <w:t>Opsummering</w:t>
      </w:r>
    </w:p>
    <w:p w14:paraId="3F8AC8FC" w14:textId="0CDC06CF"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Ejere af trawlere, der deltager i det havgående rejefiskeri i Grønland, er forpligtet til at betale en ressourceafgift baseret på salgsprisen af deres fangst. Afgiftssatsen afhænger af den gennemsnitlige salgspris pr. kilo og opdateres kvartalsvis af Skattestyrelsen. Derudover er fiskeriet reguleret gennem IOK-ordningen, hvor kvoter tildeles baseret på tidligere års fangster.</w:t>
      </w:r>
      <w:r w:rsidR="00DF0770" w:rsidRPr="00667404">
        <w:rPr>
          <w:rFonts w:ascii="Times New Roman" w:eastAsia="Times New Roman" w:hAnsi="Times New Roman" w:cs="Times New Roman"/>
          <w:kern w:val="0"/>
          <w:sz w:val="24"/>
          <w:szCs w:val="24"/>
          <w:lang w:eastAsia="da-DK"/>
          <w14:ligatures w14:val="none"/>
        </w:rPr>
        <w:t xml:space="preserve"> </w:t>
      </w:r>
    </w:p>
    <w:p w14:paraId="4A4D4563" w14:textId="6FFDE7B9" w:rsidR="00527B10" w:rsidRPr="00667404" w:rsidRDefault="00527B10" w:rsidP="00527B10">
      <w:pPr>
        <w:spacing w:after="0" w:line="240" w:lineRule="auto"/>
        <w:rPr>
          <w:rFonts w:ascii="Times New Roman" w:eastAsia="Times New Roman" w:hAnsi="Times New Roman" w:cs="Times New Roman"/>
          <w:kern w:val="0"/>
          <w:sz w:val="24"/>
          <w:szCs w:val="24"/>
          <w:lang w:eastAsia="da-DK"/>
          <w14:ligatures w14:val="none"/>
        </w:rPr>
      </w:pPr>
      <w:r w:rsidRPr="00667404">
        <w:rPr>
          <w:rFonts w:ascii="Times New Roman" w:eastAsia="Times New Roman" w:hAnsi="Times New Roman" w:cs="Times New Roman"/>
          <w:kern w:val="0"/>
          <w:sz w:val="24"/>
          <w:szCs w:val="24"/>
          <w:lang w:eastAsia="da-DK"/>
          <w14:ligatures w14:val="none"/>
        </w:rPr>
        <w:t xml:space="preserve">For yderligere information og opdaterede afgiftssatser kan du besøge Skattestyrelsens hjemmeside: </w:t>
      </w:r>
      <w:hyperlink r:id="rId5" w:tgtFrame="_new" w:history="1">
        <w:r w:rsidRPr="00667404">
          <w:rPr>
            <w:rFonts w:ascii="Times New Roman" w:eastAsia="Times New Roman" w:hAnsi="Times New Roman" w:cs="Times New Roman"/>
            <w:color w:val="0000FF"/>
            <w:kern w:val="0"/>
            <w:sz w:val="24"/>
            <w:szCs w:val="24"/>
            <w:u w:val="single"/>
            <w:lang w:eastAsia="da-DK"/>
            <w14:ligatures w14:val="none"/>
          </w:rPr>
          <w:t>www.aka.gl</w:t>
        </w:r>
      </w:hyperlink>
    </w:p>
    <w:p w14:paraId="116BB8A4" w14:textId="77777777" w:rsidR="00527B10" w:rsidRDefault="00527B1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5A6D2F3D"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63C8EC0C"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6204ADCC"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6A9F5488"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6A43D755"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2EB3A623"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4434060A"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7D429C1D"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6B01FACE"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7BC1EF30"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1B3F3054" w14:textId="77777777" w:rsidR="00DF0770" w:rsidRDefault="00DF0770" w:rsidP="00527B10">
      <w:pPr>
        <w:spacing w:after="0" w:line="240" w:lineRule="auto"/>
        <w:outlineLvl w:val="2"/>
        <w:rPr>
          <w:rFonts w:ascii="Times New Roman" w:eastAsia="Times New Roman" w:hAnsi="Times New Roman" w:cs="Times New Roman"/>
          <w:b/>
          <w:bCs/>
          <w:kern w:val="0"/>
          <w:sz w:val="27"/>
          <w:szCs w:val="27"/>
          <w:lang w:eastAsia="da-DK"/>
          <w14:ligatures w14:val="none"/>
        </w:rPr>
      </w:pPr>
    </w:p>
    <w:p w14:paraId="6C971E9A" w14:textId="77777777" w:rsidR="00527B10" w:rsidRPr="0024495B" w:rsidRDefault="00527B10" w:rsidP="00527B10">
      <w:pPr>
        <w:spacing w:after="0" w:line="240" w:lineRule="auto"/>
        <w:outlineLvl w:val="2"/>
        <w:rPr>
          <w:u w:val="single"/>
        </w:rPr>
      </w:pPr>
      <w:r w:rsidRPr="0024495B">
        <w:rPr>
          <w:rFonts w:ascii="Times New Roman" w:eastAsia="Times New Roman" w:hAnsi="Times New Roman" w:cs="Times New Roman"/>
          <w:b/>
          <w:bCs/>
          <w:kern w:val="0"/>
          <w:sz w:val="27"/>
          <w:szCs w:val="27"/>
          <w:u w:val="single"/>
          <w:lang w:eastAsia="da-DK"/>
          <w14:ligatures w14:val="none"/>
        </w:rPr>
        <w:lastRenderedPageBreak/>
        <w:t>Norge</w:t>
      </w:r>
    </w:p>
    <w:p w14:paraId="700C4C80" w14:textId="77777777" w:rsidR="00DF0770" w:rsidRDefault="00527B10" w:rsidP="00527B10">
      <w:pPr>
        <w:spacing w:after="0"/>
      </w:pPr>
      <w:r w:rsidRPr="00667404">
        <w:t xml:space="preserve">I Norge er det ikke en </w:t>
      </w:r>
      <w:proofErr w:type="spellStart"/>
      <w:r w:rsidRPr="00667404">
        <w:t>spesifikk</w:t>
      </w:r>
      <w:proofErr w:type="spellEnd"/>
      <w:r w:rsidRPr="00667404">
        <w:t xml:space="preserve"> "rejeafgift" (rejeafgift) som i Grønland. I stedet pålægges ejere af rejetrawlere en række generelle afgifter og bidrag relateret til fiskeriaktiviteter. Disse afgifter gælder for alle fiskefartøjer og er ikke specifikt rettet mod rejefiskeri.</w:t>
      </w:r>
    </w:p>
    <w:p w14:paraId="7C7DEE88" w14:textId="65F4812B" w:rsidR="00527B10" w:rsidRPr="00667404" w:rsidRDefault="00DF0770" w:rsidP="00527B10">
      <w:pPr>
        <w:spacing w:after="0"/>
      </w:pPr>
      <w:r w:rsidRPr="00667404">
        <w:t xml:space="preserve"> </w:t>
      </w:r>
    </w:p>
    <w:p w14:paraId="0634C987" w14:textId="77777777" w:rsidR="00527B10" w:rsidRPr="00667404" w:rsidRDefault="00527B10" w:rsidP="00527B10">
      <w:pPr>
        <w:spacing w:after="0"/>
        <w:rPr>
          <w:b/>
          <w:bCs/>
        </w:rPr>
      </w:pPr>
      <w:r w:rsidRPr="00667404">
        <w:rPr>
          <w:b/>
          <w:bCs/>
        </w:rPr>
        <w:t>Oversigt over relevante afgifter for norske fiskefartøjer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5"/>
        <w:gridCol w:w="1104"/>
        <w:gridCol w:w="6169"/>
      </w:tblGrid>
      <w:tr w:rsidR="00527B10" w:rsidRPr="00667404" w14:paraId="7AE63FE3" w14:textId="77777777" w:rsidTr="007F0056">
        <w:trPr>
          <w:tblHeader/>
          <w:tblCellSpacing w:w="15" w:type="dxa"/>
        </w:trPr>
        <w:tc>
          <w:tcPr>
            <w:tcW w:w="0" w:type="auto"/>
            <w:vAlign w:val="center"/>
            <w:hideMark/>
          </w:tcPr>
          <w:p w14:paraId="3223E5BC" w14:textId="77777777" w:rsidR="00527B10" w:rsidRPr="00667404" w:rsidRDefault="00527B10" w:rsidP="00527B10">
            <w:pPr>
              <w:spacing w:after="0"/>
              <w:rPr>
                <w:b/>
                <w:bCs/>
              </w:rPr>
            </w:pPr>
            <w:r w:rsidRPr="00667404">
              <w:rPr>
                <w:b/>
                <w:bCs/>
              </w:rPr>
              <w:t>Afgiftstype</w:t>
            </w:r>
          </w:p>
        </w:tc>
        <w:tc>
          <w:tcPr>
            <w:tcW w:w="0" w:type="auto"/>
            <w:vAlign w:val="center"/>
            <w:hideMark/>
          </w:tcPr>
          <w:p w14:paraId="26311EC9" w14:textId="77777777" w:rsidR="00527B10" w:rsidRPr="00667404" w:rsidRDefault="00527B10" w:rsidP="00527B10">
            <w:pPr>
              <w:spacing w:after="0"/>
              <w:rPr>
                <w:b/>
                <w:bCs/>
              </w:rPr>
            </w:pPr>
            <w:r w:rsidRPr="00667404">
              <w:rPr>
                <w:b/>
                <w:bCs/>
              </w:rPr>
              <w:t>Sats</w:t>
            </w:r>
          </w:p>
        </w:tc>
        <w:tc>
          <w:tcPr>
            <w:tcW w:w="0" w:type="auto"/>
            <w:vAlign w:val="center"/>
            <w:hideMark/>
          </w:tcPr>
          <w:p w14:paraId="4576D56B" w14:textId="77777777" w:rsidR="00527B10" w:rsidRPr="00667404" w:rsidRDefault="00527B10" w:rsidP="00527B10">
            <w:pPr>
              <w:spacing w:after="0"/>
              <w:rPr>
                <w:b/>
                <w:bCs/>
              </w:rPr>
            </w:pPr>
            <w:r w:rsidRPr="00667404">
              <w:rPr>
                <w:b/>
                <w:bCs/>
              </w:rPr>
              <w:t>Beskrivelse</w:t>
            </w:r>
          </w:p>
        </w:tc>
      </w:tr>
      <w:tr w:rsidR="00527B10" w:rsidRPr="00667404" w14:paraId="198E324E" w14:textId="77777777" w:rsidTr="007F0056">
        <w:trPr>
          <w:tblCellSpacing w:w="15" w:type="dxa"/>
        </w:trPr>
        <w:tc>
          <w:tcPr>
            <w:tcW w:w="0" w:type="auto"/>
            <w:vAlign w:val="center"/>
            <w:hideMark/>
          </w:tcPr>
          <w:p w14:paraId="6E2DD562" w14:textId="77777777" w:rsidR="00527B10" w:rsidRPr="00667404" w:rsidRDefault="00527B10" w:rsidP="00527B10">
            <w:pPr>
              <w:spacing w:after="0"/>
            </w:pPr>
            <w:r w:rsidRPr="00667404">
              <w:rPr>
                <w:b/>
                <w:bCs/>
              </w:rPr>
              <w:t>Produktionsafgift (NAV)</w:t>
            </w:r>
          </w:p>
        </w:tc>
        <w:tc>
          <w:tcPr>
            <w:tcW w:w="0" w:type="auto"/>
            <w:vAlign w:val="center"/>
            <w:hideMark/>
          </w:tcPr>
          <w:p w14:paraId="6F5FFC6C" w14:textId="77777777" w:rsidR="00527B10" w:rsidRPr="00667404" w:rsidRDefault="00527B10" w:rsidP="00527B10">
            <w:pPr>
              <w:spacing w:after="0"/>
            </w:pPr>
            <w:r w:rsidRPr="00667404">
              <w:t>1,9</w:t>
            </w:r>
            <w:r w:rsidRPr="00667404">
              <w:rPr>
                <w:rFonts w:ascii="Arial" w:hAnsi="Arial" w:cs="Arial"/>
              </w:rPr>
              <w:t> </w:t>
            </w:r>
            <w:r w:rsidRPr="00667404">
              <w:t>%</w:t>
            </w:r>
          </w:p>
        </w:tc>
        <w:tc>
          <w:tcPr>
            <w:tcW w:w="0" w:type="auto"/>
            <w:vAlign w:val="center"/>
            <w:hideMark/>
          </w:tcPr>
          <w:p w14:paraId="5063A3C2" w14:textId="77777777" w:rsidR="00527B10" w:rsidRPr="00667404" w:rsidRDefault="00527B10" w:rsidP="00527B10">
            <w:pPr>
              <w:spacing w:after="0"/>
            </w:pPr>
            <w:r w:rsidRPr="00667404">
              <w:t xml:space="preserve">Trækkes fra </w:t>
            </w:r>
            <w:proofErr w:type="spellStart"/>
            <w:r w:rsidRPr="00667404">
              <w:t>førstehåndsomsetningen</w:t>
            </w:r>
            <w:proofErr w:type="spellEnd"/>
            <w:r w:rsidRPr="00667404">
              <w:t xml:space="preserve"> af fisk og skaldyr. Afgiften går til dækning af </w:t>
            </w:r>
            <w:proofErr w:type="spellStart"/>
            <w:r w:rsidRPr="00667404">
              <w:t>trygdeydelser</w:t>
            </w:r>
            <w:proofErr w:type="spellEnd"/>
            <w:r w:rsidRPr="00667404">
              <w:t xml:space="preserve">, herunder pensionsbidrag og arbejdsgiverafgifter. </w:t>
            </w:r>
          </w:p>
        </w:tc>
      </w:tr>
      <w:tr w:rsidR="00527B10" w:rsidRPr="00667404" w14:paraId="05DFDC93" w14:textId="77777777" w:rsidTr="007F0056">
        <w:trPr>
          <w:tblCellSpacing w:w="15" w:type="dxa"/>
        </w:trPr>
        <w:tc>
          <w:tcPr>
            <w:tcW w:w="0" w:type="auto"/>
            <w:vAlign w:val="center"/>
            <w:hideMark/>
          </w:tcPr>
          <w:p w14:paraId="7F2C923B" w14:textId="77777777" w:rsidR="00527B10" w:rsidRPr="00667404" w:rsidRDefault="00527B10" w:rsidP="00527B10">
            <w:pPr>
              <w:spacing w:after="0"/>
            </w:pPr>
            <w:r w:rsidRPr="00667404">
              <w:rPr>
                <w:b/>
                <w:bCs/>
              </w:rPr>
              <w:t>Fiskeriforskningsafgift</w:t>
            </w:r>
          </w:p>
        </w:tc>
        <w:tc>
          <w:tcPr>
            <w:tcW w:w="0" w:type="auto"/>
            <w:vAlign w:val="center"/>
            <w:hideMark/>
          </w:tcPr>
          <w:p w14:paraId="6BF2CE9A" w14:textId="77777777" w:rsidR="00527B10" w:rsidRPr="00667404" w:rsidRDefault="00527B10" w:rsidP="00527B10">
            <w:pPr>
              <w:spacing w:after="0"/>
            </w:pPr>
            <w:r w:rsidRPr="00667404">
              <w:t>1,35</w:t>
            </w:r>
            <w:r w:rsidRPr="00667404">
              <w:rPr>
                <w:rFonts w:ascii="Arial" w:hAnsi="Arial" w:cs="Arial"/>
              </w:rPr>
              <w:t> </w:t>
            </w:r>
            <w:r w:rsidRPr="00667404">
              <w:t>%</w:t>
            </w:r>
          </w:p>
        </w:tc>
        <w:tc>
          <w:tcPr>
            <w:tcW w:w="0" w:type="auto"/>
            <w:vAlign w:val="center"/>
            <w:hideMark/>
          </w:tcPr>
          <w:p w14:paraId="5CECDCCF" w14:textId="77777777" w:rsidR="00527B10" w:rsidRPr="00667404" w:rsidRDefault="00527B10" w:rsidP="00527B10">
            <w:pPr>
              <w:spacing w:after="0"/>
            </w:pPr>
            <w:r w:rsidRPr="00667404">
              <w:t xml:space="preserve">Anvendes til finansiering af forskning og overvågning af marine ressourcer. </w:t>
            </w:r>
          </w:p>
        </w:tc>
      </w:tr>
      <w:tr w:rsidR="00527B10" w:rsidRPr="00667404" w14:paraId="5C01D413" w14:textId="77777777" w:rsidTr="007F0056">
        <w:trPr>
          <w:tblCellSpacing w:w="15" w:type="dxa"/>
        </w:trPr>
        <w:tc>
          <w:tcPr>
            <w:tcW w:w="0" w:type="auto"/>
            <w:vAlign w:val="center"/>
            <w:hideMark/>
          </w:tcPr>
          <w:p w14:paraId="781DB20A" w14:textId="77777777" w:rsidR="00527B10" w:rsidRPr="00667404" w:rsidRDefault="00527B10" w:rsidP="00527B10">
            <w:pPr>
              <w:spacing w:after="0"/>
            </w:pPr>
            <w:r w:rsidRPr="00667404">
              <w:rPr>
                <w:b/>
                <w:bCs/>
              </w:rPr>
              <w:t>Kontrolafgift</w:t>
            </w:r>
          </w:p>
        </w:tc>
        <w:tc>
          <w:tcPr>
            <w:tcW w:w="0" w:type="auto"/>
            <w:vAlign w:val="center"/>
            <w:hideMark/>
          </w:tcPr>
          <w:p w14:paraId="26442424" w14:textId="77777777" w:rsidR="00527B10" w:rsidRPr="00667404" w:rsidRDefault="00527B10" w:rsidP="00527B10">
            <w:pPr>
              <w:spacing w:after="0"/>
            </w:pPr>
            <w:r w:rsidRPr="00667404">
              <w:t>0,22</w:t>
            </w:r>
            <w:r w:rsidRPr="00667404">
              <w:rPr>
                <w:rFonts w:ascii="Arial" w:hAnsi="Arial" w:cs="Arial"/>
              </w:rPr>
              <w:t> </w:t>
            </w:r>
            <w:r w:rsidRPr="00667404">
              <w:t>%</w:t>
            </w:r>
          </w:p>
        </w:tc>
        <w:tc>
          <w:tcPr>
            <w:tcW w:w="0" w:type="auto"/>
            <w:vAlign w:val="center"/>
            <w:hideMark/>
          </w:tcPr>
          <w:p w14:paraId="1F2B5252" w14:textId="77777777" w:rsidR="00527B10" w:rsidRPr="00667404" w:rsidRDefault="00527B10" w:rsidP="00527B10">
            <w:pPr>
              <w:spacing w:after="0"/>
            </w:pPr>
            <w:r w:rsidRPr="00667404">
              <w:t xml:space="preserve">Dækker omkostninger ved kontrol og overvågning af fiskerilovgivningen. </w:t>
            </w:r>
          </w:p>
        </w:tc>
      </w:tr>
      <w:tr w:rsidR="00527B10" w:rsidRPr="00667404" w14:paraId="4CE43550" w14:textId="77777777" w:rsidTr="007F0056">
        <w:trPr>
          <w:tblCellSpacing w:w="15" w:type="dxa"/>
        </w:trPr>
        <w:tc>
          <w:tcPr>
            <w:tcW w:w="0" w:type="auto"/>
            <w:vAlign w:val="center"/>
            <w:hideMark/>
          </w:tcPr>
          <w:p w14:paraId="4D31D742" w14:textId="77777777" w:rsidR="00527B10" w:rsidRPr="00667404" w:rsidRDefault="00527B10" w:rsidP="00527B10">
            <w:pPr>
              <w:spacing w:after="0"/>
            </w:pPr>
            <w:r w:rsidRPr="00667404">
              <w:rPr>
                <w:b/>
                <w:bCs/>
              </w:rPr>
              <w:t>Ressourceafgift</w:t>
            </w:r>
          </w:p>
        </w:tc>
        <w:tc>
          <w:tcPr>
            <w:tcW w:w="0" w:type="auto"/>
            <w:vAlign w:val="center"/>
            <w:hideMark/>
          </w:tcPr>
          <w:p w14:paraId="0C1BF092" w14:textId="77777777" w:rsidR="00527B10" w:rsidRPr="00667404" w:rsidRDefault="00527B10" w:rsidP="00527B10">
            <w:pPr>
              <w:spacing w:after="0"/>
            </w:pPr>
            <w:r w:rsidRPr="00667404">
              <w:t>0,42</w:t>
            </w:r>
            <w:r w:rsidRPr="00667404">
              <w:rPr>
                <w:rFonts w:ascii="Arial" w:hAnsi="Arial" w:cs="Arial"/>
              </w:rPr>
              <w:t> </w:t>
            </w:r>
            <w:r w:rsidRPr="00667404">
              <w:t>%</w:t>
            </w:r>
          </w:p>
        </w:tc>
        <w:tc>
          <w:tcPr>
            <w:tcW w:w="0" w:type="auto"/>
            <w:vAlign w:val="center"/>
            <w:hideMark/>
          </w:tcPr>
          <w:p w14:paraId="26E8D29A" w14:textId="77777777" w:rsidR="00527B10" w:rsidRPr="00667404" w:rsidRDefault="00527B10" w:rsidP="00527B10">
            <w:pPr>
              <w:spacing w:after="0"/>
            </w:pPr>
            <w:r w:rsidRPr="00667404">
              <w:t xml:space="preserve">En særafgift til statskassen for udnyttelse af marine ressourcer. </w:t>
            </w:r>
          </w:p>
        </w:tc>
      </w:tr>
      <w:tr w:rsidR="00527B10" w:rsidRPr="00667404" w14:paraId="13FBF59F" w14:textId="77777777" w:rsidTr="007F0056">
        <w:trPr>
          <w:tblCellSpacing w:w="15" w:type="dxa"/>
        </w:trPr>
        <w:tc>
          <w:tcPr>
            <w:tcW w:w="0" w:type="auto"/>
            <w:vAlign w:val="center"/>
            <w:hideMark/>
          </w:tcPr>
          <w:p w14:paraId="69DE0FF5" w14:textId="77777777" w:rsidR="00527B10" w:rsidRPr="00667404" w:rsidRDefault="00527B10" w:rsidP="00527B10">
            <w:pPr>
              <w:spacing w:after="0"/>
            </w:pPr>
            <w:r w:rsidRPr="00667404">
              <w:rPr>
                <w:b/>
                <w:bCs/>
              </w:rPr>
              <w:t>CO₂-afgift</w:t>
            </w:r>
          </w:p>
        </w:tc>
        <w:tc>
          <w:tcPr>
            <w:tcW w:w="0" w:type="auto"/>
            <w:vAlign w:val="center"/>
            <w:hideMark/>
          </w:tcPr>
          <w:p w14:paraId="0717184D" w14:textId="77777777" w:rsidR="00527B10" w:rsidRPr="00667404" w:rsidRDefault="00527B10" w:rsidP="00527B10">
            <w:pPr>
              <w:spacing w:after="0"/>
            </w:pPr>
            <w:r w:rsidRPr="00667404">
              <w:t>Varierende</w:t>
            </w:r>
          </w:p>
        </w:tc>
        <w:tc>
          <w:tcPr>
            <w:tcW w:w="0" w:type="auto"/>
            <w:vAlign w:val="center"/>
            <w:hideMark/>
          </w:tcPr>
          <w:p w14:paraId="1C0C03D6" w14:textId="77777777" w:rsidR="00527B10" w:rsidRPr="00667404" w:rsidRDefault="00527B10" w:rsidP="00527B10">
            <w:pPr>
              <w:spacing w:after="0"/>
            </w:pPr>
            <w:r w:rsidRPr="00667404">
              <w:t xml:space="preserve">Pålægges brændstofforbrug. I 2025 er der en kompensationsordning på 500,4 mio. NOK for at lette overgangen til mere miljøvenlige løsninger. </w:t>
            </w:r>
          </w:p>
        </w:tc>
      </w:tr>
      <w:tr w:rsidR="00527B10" w:rsidRPr="00667404" w14:paraId="708AD281" w14:textId="77777777" w:rsidTr="007F0056">
        <w:trPr>
          <w:tblCellSpacing w:w="15" w:type="dxa"/>
        </w:trPr>
        <w:tc>
          <w:tcPr>
            <w:tcW w:w="0" w:type="auto"/>
            <w:vAlign w:val="center"/>
            <w:hideMark/>
          </w:tcPr>
          <w:p w14:paraId="440A962D" w14:textId="77777777" w:rsidR="00527B10" w:rsidRPr="00667404" w:rsidRDefault="00527B10" w:rsidP="00527B10">
            <w:pPr>
              <w:spacing w:after="0"/>
            </w:pPr>
            <w:r w:rsidRPr="00667404">
              <w:rPr>
                <w:b/>
                <w:bCs/>
              </w:rPr>
              <w:t>Moms (MVA)</w:t>
            </w:r>
          </w:p>
        </w:tc>
        <w:tc>
          <w:tcPr>
            <w:tcW w:w="0" w:type="auto"/>
            <w:vAlign w:val="center"/>
            <w:hideMark/>
          </w:tcPr>
          <w:p w14:paraId="653005C7" w14:textId="77777777" w:rsidR="00527B10" w:rsidRPr="00667404" w:rsidRDefault="00527B10" w:rsidP="00527B10">
            <w:pPr>
              <w:spacing w:after="0"/>
            </w:pPr>
            <w:r w:rsidRPr="00667404">
              <w:t>11,11</w:t>
            </w:r>
            <w:r w:rsidRPr="00667404">
              <w:rPr>
                <w:rFonts w:ascii="Arial" w:hAnsi="Arial" w:cs="Arial"/>
              </w:rPr>
              <w:t> </w:t>
            </w:r>
            <w:r w:rsidRPr="00667404">
              <w:t>%</w:t>
            </w:r>
          </w:p>
        </w:tc>
        <w:tc>
          <w:tcPr>
            <w:tcW w:w="0" w:type="auto"/>
            <w:vAlign w:val="center"/>
            <w:hideMark/>
          </w:tcPr>
          <w:p w14:paraId="7E5A7D6E" w14:textId="77777777" w:rsidR="00527B10" w:rsidRPr="00667404" w:rsidRDefault="00527B10" w:rsidP="00527B10">
            <w:pPr>
              <w:spacing w:after="0"/>
            </w:pPr>
            <w:r w:rsidRPr="00667404">
              <w:t xml:space="preserve">Gælder for </w:t>
            </w:r>
            <w:proofErr w:type="spellStart"/>
            <w:r w:rsidRPr="00667404">
              <w:t>førstehåndsomsetning</w:t>
            </w:r>
            <w:proofErr w:type="spellEnd"/>
            <w:r w:rsidRPr="00667404">
              <w:t xml:space="preserve"> af fisk og skaldyr. </w:t>
            </w:r>
          </w:p>
        </w:tc>
      </w:tr>
    </w:tbl>
    <w:p w14:paraId="18BA8E49" w14:textId="77777777" w:rsidR="00527B10" w:rsidRPr="00667404" w:rsidRDefault="00527B10" w:rsidP="00527B10">
      <w:pPr>
        <w:spacing w:after="0"/>
        <w:rPr>
          <w:b/>
          <w:bCs/>
        </w:rPr>
      </w:pPr>
      <w:r w:rsidRPr="00667404">
        <w:rPr>
          <w:b/>
          <w:bCs/>
        </w:rPr>
        <w:t>Eksempel på beregning</w:t>
      </w:r>
    </w:p>
    <w:p w14:paraId="47F13DE4" w14:textId="77777777" w:rsidR="00527B10" w:rsidRPr="00667404" w:rsidRDefault="00527B10" w:rsidP="00527B10">
      <w:pPr>
        <w:spacing w:after="0"/>
      </w:pPr>
      <w:r w:rsidRPr="00667404">
        <w:t>Hvis en rejetrawler lander rejer til en værdi af 10 millioner NOK, vil afgifterne blive beregnet således:</w:t>
      </w:r>
    </w:p>
    <w:p w14:paraId="0CE03696" w14:textId="77777777" w:rsidR="00527B10" w:rsidRPr="00667404" w:rsidRDefault="00527B10" w:rsidP="00527B10">
      <w:pPr>
        <w:numPr>
          <w:ilvl w:val="0"/>
          <w:numId w:val="7"/>
        </w:numPr>
        <w:spacing w:after="0"/>
      </w:pPr>
      <w:r w:rsidRPr="00667404">
        <w:rPr>
          <w:b/>
          <w:bCs/>
        </w:rPr>
        <w:t>Produktionsafgift</w:t>
      </w:r>
      <w:r w:rsidRPr="00667404">
        <w:t>: 10.000.000 × 1,9</w:t>
      </w:r>
      <w:r w:rsidRPr="00667404">
        <w:rPr>
          <w:rFonts w:ascii="Arial" w:hAnsi="Arial" w:cs="Arial"/>
        </w:rPr>
        <w:t> </w:t>
      </w:r>
      <w:r w:rsidRPr="00667404">
        <w:t>% = 190.000 NOK</w:t>
      </w:r>
    </w:p>
    <w:p w14:paraId="109ADB68" w14:textId="77777777" w:rsidR="00527B10" w:rsidRPr="00667404" w:rsidRDefault="00527B10" w:rsidP="00527B10">
      <w:pPr>
        <w:numPr>
          <w:ilvl w:val="0"/>
          <w:numId w:val="7"/>
        </w:numPr>
        <w:spacing w:after="0"/>
      </w:pPr>
      <w:r w:rsidRPr="00667404">
        <w:rPr>
          <w:b/>
          <w:bCs/>
        </w:rPr>
        <w:t>Fiskeriforskningsafgift</w:t>
      </w:r>
      <w:r w:rsidRPr="00667404">
        <w:t>: 10.000.000 × 1,35</w:t>
      </w:r>
      <w:r w:rsidRPr="00667404">
        <w:rPr>
          <w:rFonts w:ascii="Arial" w:hAnsi="Arial" w:cs="Arial"/>
        </w:rPr>
        <w:t> </w:t>
      </w:r>
      <w:r w:rsidRPr="00667404">
        <w:t>% = 135.000 NOK</w:t>
      </w:r>
    </w:p>
    <w:p w14:paraId="1FDFE020" w14:textId="77777777" w:rsidR="00527B10" w:rsidRPr="00667404" w:rsidRDefault="00527B10" w:rsidP="00527B10">
      <w:pPr>
        <w:numPr>
          <w:ilvl w:val="0"/>
          <w:numId w:val="7"/>
        </w:numPr>
        <w:spacing w:after="0"/>
      </w:pPr>
      <w:r w:rsidRPr="00667404">
        <w:rPr>
          <w:b/>
          <w:bCs/>
        </w:rPr>
        <w:t>Kontrolafgift</w:t>
      </w:r>
      <w:r w:rsidRPr="00667404">
        <w:t>: 10.000.000 × 0,22</w:t>
      </w:r>
      <w:r w:rsidRPr="00667404">
        <w:rPr>
          <w:rFonts w:ascii="Arial" w:hAnsi="Arial" w:cs="Arial"/>
        </w:rPr>
        <w:t> </w:t>
      </w:r>
      <w:r w:rsidRPr="00667404">
        <w:t>% = 22.000 NOK</w:t>
      </w:r>
    </w:p>
    <w:p w14:paraId="6AA60011" w14:textId="77777777" w:rsidR="00527B10" w:rsidRPr="00667404" w:rsidRDefault="00527B10" w:rsidP="00527B10">
      <w:pPr>
        <w:numPr>
          <w:ilvl w:val="0"/>
          <w:numId w:val="7"/>
        </w:numPr>
        <w:spacing w:after="0"/>
      </w:pPr>
      <w:r w:rsidRPr="00667404">
        <w:rPr>
          <w:b/>
          <w:bCs/>
        </w:rPr>
        <w:t>Ressourceafgift</w:t>
      </w:r>
      <w:r w:rsidRPr="00667404">
        <w:t>: 10.000.000 × 0,42</w:t>
      </w:r>
      <w:r w:rsidRPr="00667404">
        <w:rPr>
          <w:rFonts w:ascii="Arial" w:hAnsi="Arial" w:cs="Arial"/>
        </w:rPr>
        <w:t> </w:t>
      </w:r>
      <w:r w:rsidRPr="00667404">
        <w:t>% = 42.000 NOK</w:t>
      </w:r>
    </w:p>
    <w:p w14:paraId="7D5D8136" w14:textId="7D08DD60" w:rsidR="00527B10" w:rsidRPr="00667404" w:rsidRDefault="00527B10" w:rsidP="00527B10">
      <w:pPr>
        <w:numPr>
          <w:ilvl w:val="0"/>
          <w:numId w:val="7"/>
        </w:numPr>
        <w:spacing w:after="0"/>
      </w:pPr>
      <w:r w:rsidRPr="00667404">
        <w:rPr>
          <w:b/>
          <w:bCs/>
        </w:rPr>
        <w:t>Moms</w:t>
      </w:r>
      <w:r w:rsidRPr="00667404">
        <w:t>: 10.000.000 × 11,11</w:t>
      </w:r>
      <w:r w:rsidRPr="00667404">
        <w:rPr>
          <w:rFonts w:ascii="Arial" w:hAnsi="Arial" w:cs="Arial"/>
        </w:rPr>
        <w:t> </w:t>
      </w:r>
      <w:r w:rsidRPr="00667404">
        <w:t>% = 1.111.000 NOK</w:t>
      </w:r>
      <w:r w:rsidR="00DF0770" w:rsidRPr="00667404">
        <w:t xml:space="preserve"> </w:t>
      </w:r>
    </w:p>
    <w:p w14:paraId="0732EA2F" w14:textId="5821A39C" w:rsidR="00527B10" w:rsidRPr="00667404" w:rsidRDefault="00527B10" w:rsidP="00527B10">
      <w:pPr>
        <w:spacing w:after="0"/>
      </w:pPr>
      <w:r w:rsidRPr="00667404">
        <w:rPr>
          <w:b/>
          <w:bCs/>
        </w:rPr>
        <w:t>Samlet afgifter (ekskl. CO₂-afgift)</w:t>
      </w:r>
      <w:r w:rsidRPr="00667404">
        <w:t>: 1.500.000 NOK</w:t>
      </w:r>
    </w:p>
    <w:p w14:paraId="474EC066" w14:textId="77777777" w:rsidR="00527B10" w:rsidRPr="00667404" w:rsidRDefault="00527B10" w:rsidP="00527B10">
      <w:pPr>
        <w:spacing w:after="0"/>
      </w:pPr>
      <w:r w:rsidRPr="00667404">
        <w:rPr>
          <w:i/>
          <w:iCs/>
        </w:rPr>
        <w:t>Bemærk</w:t>
      </w:r>
      <w:r w:rsidRPr="00667404">
        <w:t>: CO₂-afgiften varierer afhængigt af brændstofforbrug og kompensationsordninger og er derfor ikke inkluderet i dette eksempel.</w:t>
      </w:r>
    </w:p>
    <w:p w14:paraId="3337F327" w14:textId="77777777" w:rsidR="00527B10" w:rsidRPr="00667404" w:rsidRDefault="00527B10" w:rsidP="00527B10">
      <w:pPr>
        <w:spacing w:after="0"/>
        <w:rPr>
          <w:b/>
          <w:bCs/>
        </w:rPr>
      </w:pPr>
      <w:r w:rsidRPr="00667404">
        <w:rPr>
          <w:b/>
          <w:bCs/>
        </w:rPr>
        <w:t>Kvoteregulering og fiskeritilladelser</w:t>
      </w:r>
    </w:p>
    <w:p w14:paraId="047800CE" w14:textId="1D8E7BB4" w:rsidR="00527B10" w:rsidRDefault="00527B10" w:rsidP="00527B10">
      <w:pPr>
        <w:spacing w:after="0"/>
      </w:pPr>
      <w:r w:rsidRPr="00667404">
        <w:t xml:space="preserve">Rejefiskeri i Norge er underlagt kvotereguleringer, som fastsættes årligt af Nærings- og fiskeridepartementet. Kvoterne fordeles mellem forskellige fartøjsgrupper baseret på faktorer som fartøjets størrelse og historisk fangst. For eksempel blev den samlede kvote for rejer i Nordsøen og Skagerrak for perioden 1. juli 2024 til 30. juni 2025 fastsat til 4.557 ton, hvoraf den norske andel var 2.854 ton. </w:t>
      </w:r>
    </w:p>
    <w:p w14:paraId="099EA4DD" w14:textId="77777777" w:rsidR="00DF0770" w:rsidRPr="00667404" w:rsidRDefault="00DF0770" w:rsidP="00527B10">
      <w:pPr>
        <w:spacing w:after="0"/>
      </w:pPr>
    </w:p>
    <w:p w14:paraId="0AC385F4" w14:textId="77777777" w:rsidR="00527B10" w:rsidRPr="00667404" w:rsidRDefault="00527B10" w:rsidP="00527B10">
      <w:pPr>
        <w:spacing w:after="0"/>
        <w:rPr>
          <w:b/>
          <w:bCs/>
        </w:rPr>
      </w:pPr>
      <w:r w:rsidRPr="00667404">
        <w:rPr>
          <w:b/>
          <w:bCs/>
        </w:rPr>
        <w:t>Opsummering</w:t>
      </w:r>
    </w:p>
    <w:p w14:paraId="09F68E14" w14:textId="77777777" w:rsidR="00527B10" w:rsidRPr="00667404" w:rsidRDefault="00527B10" w:rsidP="00527B10">
      <w:pPr>
        <w:spacing w:after="0"/>
      </w:pPr>
      <w:r w:rsidRPr="00667404">
        <w:t xml:space="preserve">Selvom Norge ikke har en specifik rejeafgift, pålægges ejere af rejetrawlere en række generelle afgifter relateret til fiskeriaktiviteter. Disse afgifter er en del af det overordnede fiskeriforvaltningssystem og bidrager til finansiering af </w:t>
      </w:r>
      <w:proofErr w:type="spellStart"/>
      <w:r w:rsidRPr="00667404">
        <w:t>trygdeydelser</w:t>
      </w:r>
      <w:proofErr w:type="spellEnd"/>
      <w:r w:rsidRPr="00667404">
        <w:t>, forskning, kontrol og miljøtiltag. Det er vigtigt for fartøjsejere at være opmærksomme på disse afgifter og inkludere dem i deres økonomiske planlægning.</w:t>
      </w:r>
    </w:p>
    <w:p w14:paraId="52B53DBA" w14:textId="77777777" w:rsidR="00527B10" w:rsidRPr="00667404" w:rsidRDefault="00527B10" w:rsidP="00527B10">
      <w:pPr>
        <w:spacing w:after="0"/>
      </w:pPr>
      <w:r w:rsidRPr="00667404">
        <w:t>For mere detaljeret information om afgifter og reguleringer kan du besøge følgende ressourcer:</w:t>
      </w:r>
    </w:p>
    <w:p w14:paraId="0E0DE5B6" w14:textId="77777777" w:rsidR="00527B10" w:rsidRPr="00667404" w:rsidRDefault="00527B10" w:rsidP="00527B10">
      <w:pPr>
        <w:numPr>
          <w:ilvl w:val="0"/>
          <w:numId w:val="8"/>
        </w:numPr>
        <w:spacing w:after="0"/>
      </w:pPr>
      <w:hyperlink r:id="rId6" w:tgtFrame="_new" w:history="1">
        <w:r w:rsidRPr="00667404">
          <w:rPr>
            <w:rStyle w:val="Hyperlink"/>
          </w:rPr>
          <w:t xml:space="preserve">Fiskeridirektoratet – </w:t>
        </w:r>
        <w:proofErr w:type="spellStart"/>
        <w:r w:rsidRPr="00667404">
          <w:rPr>
            <w:rStyle w:val="Hyperlink"/>
          </w:rPr>
          <w:t>Regelverk</w:t>
        </w:r>
        <w:proofErr w:type="spellEnd"/>
        <w:r w:rsidRPr="00667404">
          <w:rPr>
            <w:rStyle w:val="Hyperlink"/>
          </w:rPr>
          <w:t xml:space="preserve"> og reguleringer</w:t>
        </w:r>
      </w:hyperlink>
    </w:p>
    <w:p w14:paraId="46322220" w14:textId="77777777" w:rsidR="00527B10" w:rsidRPr="00667404" w:rsidRDefault="00527B10" w:rsidP="00527B10">
      <w:pPr>
        <w:numPr>
          <w:ilvl w:val="0"/>
          <w:numId w:val="8"/>
        </w:numPr>
        <w:spacing w:after="0"/>
      </w:pPr>
      <w:hyperlink r:id="rId7" w:tgtFrame="_new" w:history="1">
        <w:proofErr w:type="spellStart"/>
        <w:r w:rsidRPr="00667404">
          <w:rPr>
            <w:rStyle w:val="Hyperlink"/>
          </w:rPr>
          <w:t>Råfisklaget</w:t>
        </w:r>
        <w:proofErr w:type="spellEnd"/>
        <w:r w:rsidRPr="00667404">
          <w:rPr>
            <w:rStyle w:val="Hyperlink"/>
          </w:rPr>
          <w:t xml:space="preserve"> – Forklaring til </w:t>
        </w:r>
        <w:proofErr w:type="spellStart"/>
        <w:r w:rsidRPr="00667404">
          <w:rPr>
            <w:rStyle w:val="Hyperlink"/>
          </w:rPr>
          <w:t>trekk</w:t>
        </w:r>
        <w:proofErr w:type="spellEnd"/>
        <w:r w:rsidRPr="00667404">
          <w:rPr>
            <w:rStyle w:val="Hyperlink"/>
          </w:rPr>
          <w:t xml:space="preserve"> på fiskers </w:t>
        </w:r>
        <w:proofErr w:type="spellStart"/>
        <w:r w:rsidRPr="00667404">
          <w:rPr>
            <w:rStyle w:val="Hyperlink"/>
          </w:rPr>
          <w:t>avregning</w:t>
        </w:r>
        <w:proofErr w:type="spellEnd"/>
      </w:hyperlink>
    </w:p>
    <w:p w14:paraId="0C540982" w14:textId="77777777" w:rsidR="00527B10" w:rsidRDefault="00527B10" w:rsidP="00527B10">
      <w:pPr>
        <w:spacing w:after="0"/>
      </w:pPr>
    </w:p>
    <w:p w14:paraId="0EFD7893" w14:textId="77777777" w:rsidR="00527B10" w:rsidRPr="00667404" w:rsidRDefault="00527B10" w:rsidP="00527B10">
      <w:pPr>
        <w:spacing w:after="0" w:line="240" w:lineRule="auto"/>
        <w:outlineLvl w:val="2"/>
        <w:rPr>
          <w:u w:val="single"/>
        </w:rPr>
      </w:pPr>
      <w:r w:rsidRPr="00667404">
        <w:rPr>
          <w:rFonts w:ascii="Times New Roman" w:eastAsia="Times New Roman" w:hAnsi="Times New Roman" w:cs="Times New Roman"/>
          <w:b/>
          <w:bCs/>
          <w:kern w:val="0"/>
          <w:sz w:val="27"/>
          <w:szCs w:val="27"/>
          <w:u w:val="single"/>
          <w:lang w:eastAsia="da-DK"/>
          <w14:ligatures w14:val="none"/>
        </w:rPr>
        <w:lastRenderedPageBreak/>
        <w:t>Island</w:t>
      </w:r>
    </w:p>
    <w:p w14:paraId="2D0769A8" w14:textId="5A1F9F64" w:rsidR="00527B10" w:rsidRPr="00667404" w:rsidRDefault="00527B10" w:rsidP="00527B10">
      <w:pPr>
        <w:spacing w:after="0"/>
      </w:pPr>
      <w:r w:rsidRPr="00667404">
        <w:t xml:space="preserve">I Island pålægges ejere af rejetrawlere en særlig afgift kaldet </w:t>
      </w:r>
      <w:r w:rsidRPr="00667404">
        <w:rPr>
          <w:b/>
          <w:bCs/>
        </w:rPr>
        <w:t>fiskeriressourceafgiften</w:t>
      </w:r>
      <w:r w:rsidRPr="00667404">
        <w:t xml:space="preserve"> (</w:t>
      </w:r>
      <w:proofErr w:type="spellStart"/>
      <w:r w:rsidRPr="00667404">
        <w:rPr>
          <w:i/>
          <w:iCs/>
        </w:rPr>
        <w:t>veiðigjald</w:t>
      </w:r>
      <w:proofErr w:type="spellEnd"/>
      <w:r w:rsidRPr="00667404">
        <w:t>), som er en del af landets fiskeriforvaltningssystem. Denne afgift er designet til at sikre, at samfundet får en rimelig andel af overskuddet fra udnyttelsen af marine ressourcer.</w:t>
      </w:r>
      <w:r w:rsidR="00DF0770" w:rsidRPr="00667404">
        <w:t xml:space="preserve"> </w:t>
      </w:r>
    </w:p>
    <w:p w14:paraId="106D2C19" w14:textId="77777777" w:rsidR="00527B10" w:rsidRPr="00667404" w:rsidRDefault="00000000" w:rsidP="00527B10">
      <w:pPr>
        <w:spacing w:after="0"/>
      </w:pPr>
      <w:r>
        <w:pict w14:anchorId="3287084B">
          <v:rect id="_x0000_i1027" style="width:0;height:1.5pt" o:hralign="center" o:hrstd="t" o:hr="t" fillcolor="#a0a0a0" stroked="f"/>
        </w:pict>
      </w:r>
    </w:p>
    <w:p w14:paraId="47417B4C" w14:textId="77777777" w:rsidR="00527B10" w:rsidRPr="00667404" w:rsidRDefault="00527B10" w:rsidP="00527B10">
      <w:pPr>
        <w:spacing w:after="0"/>
        <w:rPr>
          <w:b/>
          <w:bCs/>
        </w:rPr>
      </w:pPr>
      <w:r w:rsidRPr="00667404">
        <w:rPr>
          <w:b/>
          <w:bCs/>
        </w:rPr>
        <w:t>Fiskeriressourceafgift: Struktur og beregning</w:t>
      </w:r>
    </w:p>
    <w:p w14:paraId="3623DFA3" w14:textId="77777777" w:rsidR="00527B10" w:rsidRPr="00667404" w:rsidRDefault="00527B10" w:rsidP="00527B10">
      <w:pPr>
        <w:spacing w:after="0"/>
      </w:pPr>
      <w:r w:rsidRPr="00667404">
        <w:t>Afgiften beregnes på baggrund af den landede fangst og er afhængig af markedspriserne for de enkelte fiskearter.</w:t>
      </w:r>
    </w:p>
    <w:p w14:paraId="19473F91" w14:textId="77777777" w:rsidR="00527B10" w:rsidRPr="00667404" w:rsidRDefault="00527B10" w:rsidP="00527B10">
      <w:pPr>
        <w:spacing w:after="0"/>
        <w:rPr>
          <w:b/>
          <w:bCs/>
        </w:rPr>
      </w:pPr>
      <w:r w:rsidRPr="00667404">
        <w:rPr>
          <w:b/>
          <w:bCs/>
        </w:rPr>
        <w:t>Afgiftssatser for 2025 (eksempel)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8"/>
        <w:gridCol w:w="1678"/>
        <w:gridCol w:w="5970"/>
      </w:tblGrid>
      <w:tr w:rsidR="00527B10" w:rsidRPr="00667404" w14:paraId="6B1D9E77" w14:textId="77777777" w:rsidTr="007F0056">
        <w:trPr>
          <w:tblHeader/>
          <w:tblCellSpacing w:w="15" w:type="dxa"/>
        </w:trPr>
        <w:tc>
          <w:tcPr>
            <w:tcW w:w="0" w:type="auto"/>
            <w:vAlign w:val="center"/>
            <w:hideMark/>
          </w:tcPr>
          <w:p w14:paraId="5D5E5EDD" w14:textId="77777777" w:rsidR="00527B10" w:rsidRPr="00667404" w:rsidRDefault="00527B10" w:rsidP="00527B10">
            <w:pPr>
              <w:spacing w:after="0"/>
              <w:rPr>
                <w:b/>
                <w:bCs/>
              </w:rPr>
            </w:pPr>
            <w:r w:rsidRPr="00667404">
              <w:rPr>
                <w:b/>
                <w:bCs/>
              </w:rPr>
              <w:t>Fisketype</w:t>
            </w:r>
          </w:p>
        </w:tc>
        <w:tc>
          <w:tcPr>
            <w:tcW w:w="0" w:type="auto"/>
            <w:vAlign w:val="center"/>
            <w:hideMark/>
          </w:tcPr>
          <w:p w14:paraId="086A1F2D" w14:textId="77777777" w:rsidR="00527B10" w:rsidRPr="00667404" w:rsidRDefault="00527B10" w:rsidP="00527B10">
            <w:pPr>
              <w:spacing w:after="0"/>
              <w:rPr>
                <w:b/>
                <w:bCs/>
              </w:rPr>
            </w:pPr>
            <w:r w:rsidRPr="00667404">
              <w:rPr>
                <w:b/>
                <w:bCs/>
              </w:rPr>
              <w:t>Afgift pr. kg (ISK)</w:t>
            </w:r>
          </w:p>
        </w:tc>
        <w:tc>
          <w:tcPr>
            <w:tcW w:w="0" w:type="auto"/>
            <w:vAlign w:val="center"/>
            <w:hideMark/>
          </w:tcPr>
          <w:p w14:paraId="6A3AC17C" w14:textId="77777777" w:rsidR="00527B10" w:rsidRPr="00667404" w:rsidRDefault="00527B10" w:rsidP="00527B10">
            <w:pPr>
              <w:spacing w:after="0"/>
              <w:rPr>
                <w:b/>
                <w:bCs/>
              </w:rPr>
            </w:pPr>
            <w:r w:rsidRPr="00667404">
              <w:rPr>
                <w:b/>
                <w:bCs/>
              </w:rPr>
              <w:t>Bemærkninger</w:t>
            </w:r>
          </w:p>
        </w:tc>
      </w:tr>
      <w:tr w:rsidR="00527B10" w:rsidRPr="00667404" w14:paraId="74F94F50" w14:textId="77777777" w:rsidTr="007F0056">
        <w:trPr>
          <w:tblCellSpacing w:w="15" w:type="dxa"/>
        </w:trPr>
        <w:tc>
          <w:tcPr>
            <w:tcW w:w="0" w:type="auto"/>
            <w:vAlign w:val="center"/>
            <w:hideMark/>
          </w:tcPr>
          <w:p w14:paraId="6A553510" w14:textId="77777777" w:rsidR="00527B10" w:rsidRPr="00667404" w:rsidRDefault="00527B10" w:rsidP="00527B10">
            <w:pPr>
              <w:spacing w:after="0"/>
            </w:pPr>
            <w:r w:rsidRPr="00667404">
              <w:t>Rejer</w:t>
            </w:r>
          </w:p>
        </w:tc>
        <w:tc>
          <w:tcPr>
            <w:tcW w:w="0" w:type="auto"/>
            <w:vAlign w:val="center"/>
            <w:hideMark/>
          </w:tcPr>
          <w:p w14:paraId="61E18E23" w14:textId="77777777" w:rsidR="00527B10" w:rsidRPr="00667404" w:rsidRDefault="00527B10" w:rsidP="00527B10">
            <w:pPr>
              <w:spacing w:after="0"/>
            </w:pPr>
            <w:r w:rsidRPr="00667404">
              <w:t>Varierer</w:t>
            </w:r>
          </w:p>
        </w:tc>
        <w:tc>
          <w:tcPr>
            <w:tcW w:w="0" w:type="auto"/>
            <w:vAlign w:val="center"/>
            <w:hideMark/>
          </w:tcPr>
          <w:p w14:paraId="2516C110" w14:textId="77777777" w:rsidR="00527B10" w:rsidRPr="00667404" w:rsidRDefault="00527B10" w:rsidP="00527B10">
            <w:pPr>
              <w:spacing w:after="0"/>
            </w:pPr>
            <w:r w:rsidRPr="00667404">
              <w:t>Baseret på markedspris og fastsættes årligt af myndighederne.</w:t>
            </w:r>
          </w:p>
        </w:tc>
      </w:tr>
      <w:tr w:rsidR="00527B10" w:rsidRPr="00667404" w14:paraId="68BA6481" w14:textId="77777777" w:rsidTr="007F0056">
        <w:trPr>
          <w:tblCellSpacing w:w="15" w:type="dxa"/>
        </w:trPr>
        <w:tc>
          <w:tcPr>
            <w:tcW w:w="0" w:type="auto"/>
            <w:vAlign w:val="center"/>
            <w:hideMark/>
          </w:tcPr>
          <w:p w14:paraId="1B649B5D" w14:textId="77777777" w:rsidR="00527B10" w:rsidRPr="00667404" w:rsidRDefault="00527B10" w:rsidP="00527B10">
            <w:pPr>
              <w:spacing w:after="0"/>
            </w:pPr>
            <w:r w:rsidRPr="00667404">
              <w:t>Torsk</w:t>
            </w:r>
          </w:p>
        </w:tc>
        <w:tc>
          <w:tcPr>
            <w:tcW w:w="0" w:type="auto"/>
            <w:vAlign w:val="center"/>
            <w:hideMark/>
          </w:tcPr>
          <w:p w14:paraId="7DA8F674" w14:textId="77777777" w:rsidR="00527B10" w:rsidRPr="00667404" w:rsidRDefault="00527B10" w:rsidP="00527B10">
            <w:pPr>
              <w:spacing w:after="0"/>
            </w:pPr>
            <w:r w:rsidRPr="00667404">
              <w:t>Varierer</w:t>
            </w:r>
          </w:p>
        </w:tc>
        <w:tc>
          <w:tcPr>
            <w:tcW w:w="0" w:type="auto"/>
            <w:vAlign w:val="center"/>
            <w:hideMark/>
          </w:tcPr>
          <w:p w14:paraId="5603BEC5" w14:textId="77777777" w:rsidR="00527B10" w:rsidRPr="00667404" w:rsidRDefault="00527B10" w:rsidP="00527B10">
            <w:pPr>
              <w:spacing w:after="0"/>
            </w:pPr>
            <w:r w:rsidRPr="00667404">
              <w:t>–</w:t>
            </w:r>
          </w:p>
        </w:tc>
      </w:tr>
      <w:tr w:rsidR="00527B10" w:rsidRPr="00667404" w14:paraId="70C3D82C" w14:textId="77777777" w:rsidTr="007F0056">
        <w:trPr>
          <w:tblCellSpacing w:w="15" w:type="dxa"/>
        </w:trPr>
        <w:tc>
          <w:tcPr>
            <w:tcW w:w="0" w:type="auto"/>
            <w:vAlign w:val="center"/>
            <w:hideMark/>
          </w:tcPr>
          <w:p w14:paraId="51AE9A01" w14:textId="77777777" w:rsidR="00527B10" w:rsidRPr="00667404" w:rsidRDefault="00527B10" w:rsidP="00527B10">
            <w:pPr>
              <w:spacing w:after="0"/>
            </w:pPr>
            <w:r w:rsidRPr="00667404">
              <w:t>Sild</w:t>
            </w:r>
          </w:p>
        </w:tc>
        <w:tc>
          <w:tcPr>
            <w:tcW w:w="0" w:type="auto"/>
            <w:vAlign w:val="center"/>
            <w:hideMark/>
          </w:tcPr>
          <w:p w14:paraId="3256FCD8" w14:textId="77777777" w:rsidR="00527B10" w:rsidRPr="00667404" w:rsidRDefault="00527B10" w:rsidP="00527B10">
            <w:pPr>
              <w:spacing w:after="0"/>
            </w:pPr>
            <w:r w:rsidRPr="00667404">
              <w:t>Varierer</w:t>
            </w:r>
          </w:p>
        </w:tc>
        <w:tc>
          <w:tcPr>
            <w:tcW w:w="0" w:type="auto"/>
            <w:vAlign w:val="center"/>
            <w:hideMark/>
          </w:tcPr>
          <w:p w14:paraId="4E2EB433" w14:textId="77777777" w:rsidR="00527B10" w:rsidRPr="00667404" w:rsidRDefault="00527B10" w:rsidP="00527B10">
            <w:pPr>
              <w:spacing w:after="0"/>
            </w:pPr>
            <w:r w:rsidRPr="00667404">
              <w:t>–</w:t>
            </w:r>
          </w:p>
        </w:tc>
      </w:tr>
    </w:tbl>
    <w:p w14:paraId="24491369" w14:textId="77777777" w:rsidR="00527B10" w:rsidRPr="00667404" w:rsidRDefault="00527B10" w:rsidP="00527B10">
      <w:pPr>
        <w:spacing w:after="0"/>
      </w:pPr>
      <w:r w:rsidRPr="00667404">
        <w:rPr>
          <w:i/>
          <w:iCs/>
        </w:rPr>
        <w:t>Bemærk: De præcise satser for hver art offentliggøres af islandske myndigheder før årets begyndelse.</w:t>
      </w:r>
    </w:p>
    <w:p w14:paraId="227A6DB3" w14:textId="77777777" w:rsidR="00527B10" w:rsidRPr="00667404" w:rsidRDefault="00000000" w:rsidP="00527B10">
      <w:pPr>
        <w:spacing w:after="0"/>
      </w:pPr>
      <w:r>
        <w:pict w14:anchorId="0155F9D8">
          <v:rect id="_x0000_i1028" style="width:0;height:1.5pt" o:hralign="center" o:hrstd="t" o:hr="t" fillcolor="#a0a0a0" stroked="f"/>
        </w:pict>
      </w:r>
    </w:p>
    <w:p w14:paraId="4DCF3B9A" w14:textId="77777777" w:rsidR="00527B10" w:rsidRPr="00667404" w:rsidRDefault="00527B10" w:rsidP="00527B10">
      <w:pPr>
        <w:spacing w:after="0"/>
        <w:rPr>
          <w:b/>
          <w:bCs/>
        </w:rPr>
      </w:pPr>
      <w:r w:rsidRPr="00667404">
        <w:rPr>
          <w:b/>
          <w:bCs/>
        </w:rPr>
        <w:t>Sådan fungerer afgiften</w:t>
      </w:r>
    </w:p>
    <w:p w14:paraId="222E590A" w14:textId="77777777" w:rsidR="00527B10" w:rsidRPr="00667404" w:rsidRDefault="00527B10" w:rsidP="00527B10">
      <w:pPr>
        <w:numPr>
          <w:ilvl w:val="0"/>
          <w:numId w:val="9"/>
        </w:numPr>
        <w:spacing w:after="0"/>
      </w:pPr>
      <w:r w:rsidRPr="00667404">
        <w:rPr>
          <w:b/>
          <w:bCs/>
        </w:rPr>
        <w:t>Grundlag</w:t>
      </w:r>
      <w:r w:rsidRPr="00667404">
        <w:t>: Beregnes ud fra den landede fangst og de gældende markedspriser.</w:t>
      </w:r>
    </w:p>
    <w:p w14:paraId="671AA328" w14:textId="77777777" w:rsidR="00527B10" w:rsidRPr="00667404" w:rsidRDefault="00527B10" w:rsidP="00527B10">
      <w:pPr>
        <w:numPr>
          <w:ilvl w:val="0"/>
          <w:numId w:val="9"/>
        </w:numPr>
        <w:spacing w:after="0"/>
      </w:pPr>
      <w:r w:rsidRPr="00667404">
        <w:rPr>
          <w:b/>
          <w:bCs/>
        </w:rPr>
        <w:t>Betaling</w:t>
      </w:r>
      <w:r w:rsidRPr="00667404">
        <w:t>: Afgiften opkræves månedligt og skal betales af fartøjsejeren.</w:t>
      </w:r>
    </w:p>
    <w:p w14:paraId="03F21D29" w14:textId="77777777" w:rsidR="00527B10" w:rsidRPr="00667404" w:rsidRDefault="00527B10" w:rsidP="00527B10">
      <w:pPr>
        <w:numPr>
          <w:ilvl w:val="0"/>
          <w:numId w:val="9"/>
        </w:numPr>
        <w:spacing w:after="0"/>
      </w:pPr>
      <w:r w:rsidRPr="00667404">
        <w:rPr>
          <w:b/>
          <w:bCs/>
        </w:rPr>
        <w:t>Formål</w:t>
      </w:r>
      <w:r w:rsidRPr="00667404">
        <w:t>: Midlerne anvendes til forskning, forvaltning og overvågning af fiskeriet.</w:t>
      </w:r>
    </w:p>
    <w:p w14:paraId="7A556962" w14:textId="77777777" w:rsidR="00527B10" w:rsidRPr="00667404" w:rsidRDefault="00000000" w:rsidP="00527B10">
      <w:pPr>
        <w:spacing w:after="0"/>
      </w:pPr>
      <w:r>
        <w:pict w14:anchorId="5A5E89B7">
          <v:rect id="_x0000_i1029" style="width:0;height:1.5pt" o:hralign="center" o:hrstd="t" o:hr="t" fillcolor="#a0a0a0" stroked="f"/>
        </w:pict>
      </w:r>
    </w:p>
    <w:p w14:paraId="39B8DD59" w14:textId="77777777" w:rsidR="00527B10" w:rsidRPr="00667404" w:rsidRDefault="00527B10" w:rsidP="00527B10">
      <w:pPr>
        <w:spacing w:after="0"/>
        <w:rPr>
          <w:b/>
          <w:bCs/>
        </w:rPr>
      </w:pPr>
      <w:r w:rsidRPr="00667404">
        <w:rPr>
          <w:b/>
          <w:bCs/>
        </w:rPr>
        <w:t>Eksempel på beregning</w:t>
      </w:r>
    </w:p>
    <w:p w14:paraId="041065D8" w14:textId="77777777" w:rsidR="00527B10" w:rsidRPr="00667404" w:rsidRDefault="00527B10" w:rsidP="00527B10">
      <w:pPr>
        <w:spacing w:after="0"/>
      </w:pPr>
      <w:r w:rsidRPr="00667404">
        <w:t>Hvis en trawler lander 100.000 kg rejer, og den gældende afgiftssats for rejer er 10 ISK pr. kg:</w:t>
      </w:r>
    </w:p>
    <w:p w14:paraId="041FC007" w14:textId="77777777" w:rsidR="00527B10" w:rsidRPr="00667404" w:rsidRDefault="00527B10" w:rsidP="00527B10">
      <w:pPr>
        <w:numPr>
          <w:ilvl w:val="0"/>
          <w:numId w:val="10"/>
        </w:numPr>
        <w:spacing w:after="0"/>
      </w:pPr>
      <w:r w:rsidRPr="00667404">
        <w:rPr>
          <w:b/>
          <w:bCs/>
        </w:rPr>
        <w:t>Samlet afgift</w:t>
      </w:r>
      <w:r w:rsidRPr="00667404">
        <w:t>: 100.000 kg × 10 ISK = 1.000.000 ISK</w:t>
      </w:r>
    </w:p>
    <w:p w14:paraId="511674A1" w14:textId="77777777" w:rsidR="00527B10" w:rsidRPr="00667404" w:rsidRDefault="00000000" w:rsidP="00527B10">
      <w:pPr>
        <w:spacing w:after="0"/>
      </w:pPr>
      <w:r>
        <w:pict w14:anchorId="77D61ECD">
          <v:rect id="_x0000_i1030" style="width:0;height:1.5pt" o:hralign="center" o:hrstd="t" o:hr="t" fillcolor="#a0a0a0" stroked="f"/>
        </w:pict>
      </w:r>
    </w:p>
    <w:p w14:paraId="65852525" w14:textId="77777777" w:rsidR="00527B10" w:rsidRPr="00667404" w:rsidRDefault="00527B10" w:rsidP="00527B10">
      <w:pPr>
        <w:spacing w:after="0"/>
        <w:rPr>
          <w:b/>
          <w:bCs/>
        </w:rPr>
      </w:pPr>
      <w:r w:rsidRPr="00667404">
        <w:rPr>
          <w:b/>
          <w:bCs/>
        </w:rPr>
        <w:t>Yderligere oplysninger</w:t>
      </w:r>
    </w:p>
    <w:p w14:paraId="3FEEE26B" w14:textId="77777777" w:rsidR="00527B10" w:rsidRPr="00667404" w:rsidRDefault="00527B10" w:rsidP="00527B10">
      <w:pPr>
        <w:spacing w:after="0"/>
      </w:pPr>
      <w:r w:rsidRPr="00667404">
        <w:t>For mere detaljeret information og opdaterede afgiftssatser kan du besøge:</w:t>
      </w:r>
    </w:p>
    <w:p w14:paraId="4A7104E1" w14:textId="77777777" w:rsidR="00527B10" w:rsidRPr="00667404" w:rsidRDefault="00527B10" w:rsidP="00527B10">
      <w:pPr>
        <w:numPr>
          <w:ilvl w:val="0"/>
          <w:numId w:val="11"/>
        </w:numPr>
        <w:spacing w:after="0"/>
      </w:pPr>
      <w:hyperlink r:id="rId8" w:tgtFrame="_new" w:history="1">
        <w:r w:rsidRPr="00667404">
          <w:rPr>
            <w:rStyle w:val="Hyperlink"/>
          </w:rPr>
          <w:t>Islandske myndigheders officielle side om fiskeriressourceafgift</w:t>
        </w:r>
      </w:hyperlink>
    </w:p>
    <w:p w14:paraId="6CD4F5B1" w14:textId="77777777" w:rsidR="00527B10" w:rsidRPr="00667404" w:rsidRDefault="00000000" w:rsidP="00527B10">
      <w:pPr>
        <w:spacing w:after="0"/>
      </w:pPr>
      <w:r>
        <w:pict w14:anchorId="6C68844C">
          <v:rect id="_x0000_i1031" style="width:0;height:1.5pt" o:hralign="center" o:hrstd="t" o:hr="t" fillcolor="#a0a0a0" stroked="f"/>
        </w:pict>
      </w:r>
    </w:p>
    <w:p w14:paraId="40E26BDB" w14:textId="77777777" w:rsidR="00527B10" w:rsidRPr="00667404" w:rsidRDefault="00527B10" w:rsidP="00527B10">
      <w:pPr>
        <w:spacing w:after="0"/>
      </w:pPr>
      <w:r w:rsidRPr="00667404">
        <w:t>Det er vigtigt for ejere af rejetrawlere at holde sig opdateret om de gældende afgiftssatser og betalingsfrister for at sikre overholdelse af lovgivningen og undgå sanktioner.</w:t>
      </w:r>
    </w:p>
    <w:p w14:paraId="49508168" w14:textId="77777777" w:rsidR="00527B10" w:rsidRDefault="00527B10" w:rsidP="00527B10">
      <w:pPr>
        <w:spacing w:after="0"/>
      </w:pPr>
    </w:p>
    <w:p w14:paraId="30814C3F" w14:textId="77777777" w:rsidR="00527B10" w:rsidRPr="00667404" w:rsidRDefault="00527B10" w:rsidP="00527B10">
      <w:pPr>
        <w:spacing w:after="0" w:line="240" w:lineRule="auto"/>
        <w:outlineLvl w:val="2"/>
        <w:rPr>
          <w:u w:val="single"/>
        </w:rPr>
      </w:pPr>
      <w:r>
        <w:rPr>
          <w:rFonts w:ascii="Times New Roman" w:eastAsia="Times New Roman" w:hAnsi="Times New Roman" w:cs="Times New Roman"/>
          <w:b/>
          <w:bCs/>
          <w:kern w:val="0"/>
          <w:sz w:val="27"/>
          <w:szCs w:val="27"/>
          <w:u w:val="single"/>
          <w:lang w:eastAsia="da-DK"/>
          <w14:ligatures w14:val="none"/>
        </w:rPr>
        <w:t>Canada</w:t>
      </w:r>
    </w:p>
    <w:p w14:paraId="6B56E214" w14:textId="77777777" w:rsidR="00527B10" w:rsidRPr="00667404" w:rsidRDefault="00527B10" w:rsidP="00527B10">
      <w:pPr>
        <w:spacing w:after="0"/>
      </w:pPr>
      <w:r w:rsidRPr="00667404">
        <w:t>I Canada pålægges ejere af rejetrawlere visse gebyrer og afgifter i forbindelse med kommercielt rejefiskeri. Disse omfatter licensgebyrer og eventuelle overvågningsgebyrer, afhængigt af fiskeriets art og region.</w:t>
      </w:r>
    </w:p>
    <w:p w14:paraId="7F2C0742" w14:textId="77777777" w:rsidR="00527B10" w:rsidRPr="00667404" w:rsidRDefault="00000000" w:rsidP="00527B10">
      <w:pPr>
        <w:spacing w:after="0"/>
      </w:pPr>
      <w:r>
        <w:pict w14:anchorId="00A8521F">
          <v:rect id="_x0000_i1032" style="width:0;height:1.5pt" o:hralign="center" o:hrstd="t" o:hr="t" fillcolor="#a0a0a0" stroked="f"/>
        </w:pict>
      </w:r>
    </w:p>
    <w:p w14:paraId="571F61B1" w14:textId="77777777" w:rsidR="00527B10" w:rsidRPr="00667404" w:rsidRDefault="00527B10" w:rsidP="00527B10">
      <w:pPr>
        <w:spacing w:after="0"/>
        <w:rPr>
          <w:b/>
          <w:bCs/>
        </w:rPr>
      </w:pPr>
      <w:r w:rsidRPr="00667404">
        <w:rPr>
          <w:b/>
          <w:bCs/>
        </w:rPr>
        <w:t>Oversigt over afgifter for kommercielt rejefiskeri i Canada (2025/2026)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0"/>
        <w:gridCol w:w="1047"/>
        <w:gridCol w:w="4631"/>
      </w:tblGrid>
      <w:tr w:rsidR="00527B10" w:rsidRPr="00667404" w14:paraId="0DAE770A" w14:textId="77777777" w:rsidTr="007F0056">
        <w:trPr>
          <w:tblHeader/>
          <w:tblCellSpacing w:w="15" w:type="dxa"/>
        </w:trPr>
        <w:tc>
          <w:tcPr>
            <w:tcW w:w="0" w:type="auto"/>
            <w:vAlign w:val="center"/>
            <w:hideMark/>
          </w:tcPr>
          <w:p w14:paraId="69F3A0BC" w14:textId="77777777" w:rsidR="00527B10" w:rsidRPr="00667404" w:rsidRDefault="00527B10" w:rsidP="00527B10">
            <w:pPr>
              <w:spacing w:after="0"/>
              <w:rPr>
                <w:b/>
                <w:bCs/>
              </w:rPr>
            </w:pPr>
            <w:r w:rsidRPr="00667404">
              <w:rPr>
                <w:b/>
                <w:bCs/>
              </w:rPr>
              <w:t>Afgiftstype</w:t>
            </w:r>
          </w:p>
        </w:tc>
        <w:tc>
          <w:tcPr>
            <w:tcW w:w="0" w:type="auto"/>
            <w:vAlign w:val="center"/>
            <w:hideMark/>
          </w:tcPr>
          <w:p w14:paraId="426A398B" w14:textId="77777777" w:rsidR="00527B10" w:rsidRPr="00667404" w:rsidRDefault="00527B10" w:rsidP="00527B10">
            <w:pPr>
              <w:spacing w:after="0"/>
              <w:rPr>
                <w:b/>
                <w:bCs/>
              </w:rPr>
            </w:pPr>
            <w:r w:rsidRPr="00667404">
              <w:rPr>
                <w:b/>
                <w:bCs/>
              </w:rPr>
              <w:t>Beløb (CAD)</w:t>
            </w:r>
          </w:p>
        </w:tc>
        <w:tc>
          <w:tcPr>
            <w:tcW w:w="0" w:type="auto"/>
            <w:vAlign w:val="center"/>
            <w:hideMark/>
          </w:tcPr>
          <w:p w14:paraId="002E5CE5" w14:textId="77777777" w:rsidR="00527B10" w:rsidRPr="00667404" w:rsidRDefault="00527B10" w:rsidP="00527B10">
            <w:pPr>
              <w:spacing w:after="0"/>
              <w:rPr>
                <w:b/>
                <w:bCs/>
              </w:rPr>
            </w:pPr>
            <w:r w:rsidRPr="00667404">
              <w:rPr>
                <w:b/>
                <w:bCs/>
              </w:rPr>
              <w:t>Beskrivelse</w:t>
            </w:r>
          </w:p>
        </w:tc>
      </w:tr>
      <w:tr w:rsidR="00527B10" w:rsidRPr="00667404" w14:paraId="3A9C020B" w14:textId="77777777" w:rsidTr="007F0056">
        <w:trPr>
          <w:tblCellSpacing w:w="15" w:type="dxa"/>
        </w:trPr>
        <w:tc>
          <w:tcPr>
            <w:tcW w:w="0" w:type="auto"/>
            <w:vAlign w:val="center"/>
            <w:hideMark/>
          </w:tcPr>
          <w:p w14:paraId="791976CC" w14:textId="77777777" w:rsidR="00527B10" w:rsidRPr="00667404" w:rsidRDefault="00527B10" w:rsidP="00527B10">
            <w:pPr>
              <w:spacing w:after="0"/>
            </w:pPr>
            <w:r w:rsidRPr="00667404">
              <w:rPr>
                <w:b/>
                <w:bCs/>
              </w:rPr>
              <w:t>Licensgebyr for rejetrawl (Kategori S)</w:t>
            </w:r>
          </w:p>
        </w:tc>
        <w:tc>
          <w:tcPr>
            <w:tcW w:w="0" w:type="auto"/>
            <w:vAlign w:val="center"/>
            <w:hideMark/>
          </w:tcPr>
          <w:p w14:paraId="60EF7935" w14:textId="77777777" w:rsidR="00527B10" w:rsidRPr="00667404" w:rsidRDefault="00527B10" w:rsidP="00527B10">
            <w:pPr>
              <w:spacing w:after="0"/>
            </w:pPr>
            <w:r w:rsidRPr="00667404">
              <w:t>$119,94</w:t>
            </w:r>
          </w:p>
        </w:tc>
        <w:tc>
          <w:tcPr>
            <w:tcW w:w="0" w:type="auto"/>
            <w:vAlign w:val="center"/>
            <w:hideMark/>
          </w:tcPr>
          <w:p w14:paraId="5E09D778" w14:textId="77777777" w:rsidR="00527B10" w:rsidRPr="00667404" w:rsidRDefault="00527B10" w:rsidP="00527B10">
            <w:pPr>
              <w:spacing w:after="0"/>
            </w:pPr>
            <w:r w:rsidRPr="00667404">
              <w:t xml:space="preserve">Årligt gebyr for kommercielt rejefiskeri med trawl i Stillehavsregionen. </w:t>
            </w:r>
          </w:p>
        </w:tc>
      </w:tr>
      <w:tr w:rsidR="00527B10" w:rsidRPr="00667404" w14:paraId="7A65F608" w14:textId="77777777" w:rsidTr="007F0056">
        <w:trPr>
          <w:tblCellSpacing w:w="15" w:type="dxa"/>
        </w:trPr>
        <w:tc>
          <w:tcPr>
            <w:tcW w:w="0" w:type="auto"/>
            <w:vAlign w:val="center"/>
            <w:hideMark/>
          </w:tcPr>
          <w:p w14:paraId="0E07259C" w14:textId="77777777" w:rsidR="00527B10" w:rsidRPr="00667404" w:rsidRDefault="00527B10" w:rsidP="00527B10">
            <w:pPr>
              <w:spacing w:after="0"/>
            </w:pPr>
            <w:r w:rsidRPr="00667404">
              <w:rPr>
                <w:b/>
                <w:bCs/>
              </w:rPr>
              <w:t>Licensgebyr for reje- og krebsefiskeri med fælder (Kategori W)</w:t>
            </w:r>
          </w:p>
        </w:tc>
        <w:tc>
          <w:tcPr>
            <w:tcW w:w="0" w:type="auto"/>
            <w:vAlign w:val="center"/>
            <w:hideMark/>
          </w:tcPr>
          <w:p w14:paraId="433A7B55" w14:textId="77777777" w:rsidR="00527B10" w:rsidRPr="00667404" w:rsidRDefault="00527B10" w:rsidP="00527B10">
            <w:pPr>
              <w:spacing w:after="0"/>
            </w:pPr>
            <w:r w:rsidRPr="00667404">
              <w:t>$383,81</w:t>
            </w:r>
          </w:p>
        </w:tc>
        <w:tc>
          <w:tcPr>
            <w:tcW w:w="0" w:type="auto"/>
            <w:vAlign w:val="center"/>
            <w:hideMark/>
          </w:tcPr>
          <w:p w14:paraId="359A456B" w14:textId="77777777" w:rsidR="00527B10" w:rsidRPr="00667404" w:rsidRDefault="00527B10" w:rsidP="00527B10">
            <w:pPr>
              <w:spacing w:after="0"/>
            </w:pPr>
            <w:r w:rsidRPr="00667404">
              <w:t xml:space="preserve">Årligt gebyr for kommercielt reje- og krebsefiskeri med fælder i Stillehavsregionen. </w:t>
            </w:r>
          </w:p>
        </w:tc>
      </w:tr>
      <w:tr w:rsidR="00527B10" w:rsidRPr="00667404" w14:paraId="301EFE9D" w14:textId="77777777" w:rsidTr="007F0056">
        <w:trPr>
          <w:tblCellSpacing w:w="15" w:type="dxa"/>
        </w:trPr>
        <w:tc>
          <w:tcPr>
            <w:tcW w:w="0" w:type="auto"/>
            <w:vAlign w:val="center"/>
            <w:hideMark/>
          </w:tcPr>
          <w:p w14:paraId="349C7AC8" w14:textId="77777777" w:rsidR="00527B10" w:rsidRPr="00667404" w:rsidRDefault="00527B10" w:rsidP="00527B10">
            <w:pPr>
              <w:spacing w:after="0"/>
            </w:pPr>
            <w:r w:rsidRPr="00667404">
              <w:rPr>
                <w:b/>
                <w:bCs/>
              </w:rPr>
              <w:t>Overvågningsgebyr ved landing</w:t>
            </w:r>
          </w:p>
        </w:tc>
        <w:tc>
          <w:tcPr>
            <w:tcW w:w="0" w:type="auto"/>
            <w:vAlign w:val="center"/>
            <w:hideMark/>
          </w:tcPr>
          <w:p w14:paraId="721F1774" w14:textId="77777777" w:rsidR="00527B10" w:rsidRPr="00667404" w:rsidRDefault="00527B10" w:rsidP="00527B10">
            <w:pPr>
              <w:spacing w:after="0"/>
            </w:pPr>
            <w:r w:rsidRPr="00667404">
              <w:t>Varierer</w:t>
            </w:r>
          </w:p>
        </w:tc>
        <w:tc>
          <w:tcPr>
            <w:tcW w:w="0" w:type="auto"/>
            <w:vAlign w:val="center"/>
            <w:hideMark/>
          </w:tcPr>
          <w:p w14:paraId="2DD3C450" w14:textId="77777777" w:rsidR="00527B10" w:rsidRPr="00667404" w:rsidRDefault="00527B10" w:rsidP="00527B10">
            <w:pPr>
              <w:spacing w:after="0"/>
            </w:pPr>
            <w:r w:rsidRPr="00667404">
              <w:t xml:space="preserve">Gebyr for overvågning af fangst ved landing, afhænger af region og fiskeri. </w:t>
            </w:r>
          </w:p>
        </w:tc>
      </w:tr>
    </w:tbl>
    <w:p w14:paraId="301AA6CD" w14:textId="77777777" w:rsidR="00527B10" w:rsidRPr="00667404" w:rsidRDefault="00000000" w:rsidP="00527B10">
      <w:pPr>
        <w:spacing w:after="0"/>
      </w:pPr>
      <w:r>
        <w:lastRenderedPageBreak/>
        <w:pict w14:anchorId="54632223">
          <v:rect id="_x0000_i1033" style="width:0;height:1.5pt" o:hralign="center" o:hrstd="t" o:hr="t" fillcolor="#a0a0a0" stroked="f"/>
        </w:pict>
      </w:r>
    </w:p>
    <w:p w14:paraId="097DD12E" w14:textId="77777777" w:rsidR="00527B10" w:rsidRPr="00667404" w:rsidRDefault="00527B10" w:rsidP="00527B10">
      <w:pPr>
        <w:spacing w:after="0"/>
        <w:rPr>
          <w:b/>
          <w:bCs/>
        </w:rPr>
      </w:pPr>
      <w:r w:rsidRPr="00667404">
        <w:rPr>
          <w:b/>
          <w:bCs/>
        </w:rPr>
        <w:t>Sådan fungerer afgifterne</w:t>
      </w:r>
    </w:p>
    <w:p w14:paraId="3ACE88DC" w14:textId="622DD018" w:rsidR="00527B10" w:rsidRPr="00667404" w:rsidRDefault="00527B10" w:rsidP="00527B10">
      <w:pPr>
        <w:numPr>
          <w:ilvl w:val="0"/>
          <w:numId w:val="12"/>
        </w:numPr>
        <w:spacing w:after="0"/>
      </w:pPr>
      <w:r w:rsidRPr="00667404">
        <w:rPr>
          <w:b/>
          <w:bCs/>
        </w:rPr>
        <w:t>Licensgebyrer</w:t>
      </w:r>
      <w:r w:rsidRPr="00667404">
        <w:t xml:space="preserve">: Fiskere skal forny deres licenser årligt gennem det nationale online licenssystem (NOLS) inden 31. marts for at bevare retten til at fiske. </w:t>
      </w:r>
    </w:p>
    <w:p w14:paraId="20652DC6" w14:textId="77777777" w:rsidR="00527B10" w:rsidRPr="00667404" w:rsidRDefault="00527B10" w:rsidP="00527B10">
      <w:pPr>
        <w:numPr>
          <w:ilvl w:val="0"/>
          <w:numId w:val="12"/>
        </w:numPr>
        <w:spacing w:after="0"/>
      </w:pPr>
      <w:r w:rsidRPr="00667404">
        <w:rPr>
          <w:b/>
          <w:bCs/>
        </w:rPr>
        <w:t>Overvågningsgebyrer</w:t>
      </w:r>
      <w:r w:rsidRPr="00667404">
        <w:t xml:space="preserve">: I visse regioner, såsom Newfoundland og Labrador, kan der pålægges gebyrer for overvågning af fangst ved landing. Disse gebyrer varierer afhængigt af fiskeriet og regionen. </w:t>
      </w:r>
    </w:p>
    <w:p w14:paraId="6499D434" w14:textId="77777777" w:rsidR="00527B10" w:rsidRPr="00667404" w:rsidRDefault="00000000" w:rsidP="00527B10">
      <w:pPr>
        <w:spacing w:after="0"/>
      </w:pPr>
      <w:r>
        <w:pict w14:anchorId="7A217F5D">
          <v:rect id="_x0000_i1034" style="width:0;height:1.5pt" o:hralign="center" o:hrstd="t" o:hr="t" fillcolor="#a0a0a0" stroked="f"/>
        </w:pict>
      </w:r>
    </w:p>
    <w:p w14:paraId="7C6EAF78" w14:textId="77777777" w:rsidR="00527B10" w:rsidRPr="00667404" w:rsidRDefault="00527B10" w:rsidP="00527B10">
      <w:pPr>
        <w:spacing w:after="0"/>
        <w:rPr>
          <w:b/>
          <w:bCs/>
        </w:rPr>
      </w:pPr>
      <w:r w:rsidRPr="00667404">
        <w:rPr>
          <w:b/>
          <w:bCs/>
        </w:rPr>
        <w:t>Eksempel på beregning</w:t>
      </w:r>
    </w:p>
    <w:p w14:paraId="3D4E93F7" w14:textId="77777777" w:rsidR="00527B10" w:rsidRPr="00667404" w:rsidRDefault="00527B10" w:rsidP="00527B10">
      <w:pPr>
        <w:spacing w:after="0"/>
      </w:pPr>
      <w:r w:rsidRPr="00667404">
        <w:t>Hvis en trawler opererer i Stillehavsregionen og fisker rejer med trawl, vil de årlige omkostninger være:</w:t>
      </w:r>
    </w:p>
    <w:p w14:paraId="0A8F50DC" w14:textId="7BB2210C" w:rsidR="00527B10" w:rsidRPr="00667404" w:rsidRDefault="00527B10" w:rsidP="00527B10">
      <w:pPr>
        <w:numPr>
          <w:ilvl w:val="0"/>
          <w:numId w:val="13"/>
        </w:numPr>
        <w:spacing w:after="0"/>
        <w:rPr>
          <w:lang w:val="en-US"/>
        </w:rPr>
      </w:pPr>
      <w:proofErr w:type="spellStart"/>
      <w:r w:rsidRPr="00667404">
        <w:rPr>
          <w:b/>
          <w:bCs/>
          <w:lang w:val="en-US"/>
        </w:rPr>
        <w:t>Licensgebyr</w:t>
      </w:r>
      <w:proofErr w:type="spellEnd"/>
      <w:r w:rsidRPr="00667404">
        <w:rPr>
          <w:lang w:val="en-US"/>
        </w:rPr>
        <w:t>: $119,94</w:t>
      </w:r>
      <w:r w:rsidR="00DF0770">
        <w:rPr>
          <w:lang w:val="en-US"/>
        </w:rPr>
        <w:t xml:space="preserve"> </w:t>
      </w:r>
    </w:p>
    <w:p w14:paraId="371DD181" w14:textId="77777777" w:rsidR="00527B10" w:rsidRPr="00667404" w:rsidRDefault="00527B10" w:rsidP="00527B10">
      <w:pPr>
        <w:numPr>
          <w:ilvl w:val="0"/>
          <w:numId w:val="13"/>
        </w:numPr>
        <w:spacing w:after="0"/>
      </w:pPr>
      <w:r w:rsidRPr="00667404">
        <w:rPr>
          <w:b/>
          <w:bCs/>
        </w:rPr>
        <w:t>Overvågningsgebyr</w:t>
      </w:r>
      <w:r w:rsidRPr="00667404">
        <w:t>: Afhænger af region og fiskeri.</w:t>
      </w:r>
    </w:p>
    <w:p w14:paraId="0DFB0394" w14:textId="77777777" w:rsidR="00527B10" w:rsidRPr="00667404" w:rsidRDefault="00000000" w:rsidP="00527B10">
      <w:pPr>
        <w:spacing w:after="0"/>
      </w:pPr>
      <w:r>
        <w:pict w14:anchorId="7220189B">
          <v:rect id="_x0000_i1035" style="width:0;height:1.5pt" o:hralign="center" o:hrstd="t" o:hr="t" fillcolor="#a0a0a0" stroked="f"/>
        </w:pict>
      </w:r>
    </w:p>
    <w:p w14:paraId="71C503B4" w14:textId="77777777" w:rsidR="00527B10" w:rsidRPr="00667404" w:rsidRDefault="00527B10" w:rsidP="00527B10">
      <w:pPr>
        <w:spacing w:after="0"/>
        <w:rPr>
          <w:b/>
          <w:bCs/>
        </w:rPr>
      </w:pPr>
      <w:r w:rsidRPr="00667404">
        <w:rPr>
          <w:b/>
          <w:bCs/>
        </w:rPr>
        <w:t>Yderligere oplysninger</w:t>
      </w:r>
    </w:p>
    <w:p w14:paraId="2E2C0069" w14:textId="77777777" w:rsidR="00527B10" w:rsidRPr="00667404" w:rsidRDefault="00527B10" w:rsidP="00527B10">
      <w:pPr>
        <w:spacing w:after="0"/>
      </w:pPr>
      <w:r w:rsidRPr="00667404">
        <w:t>For mere detaljeret information og opdaterede gebyrer kan du besøge:</w:t>
      </w:r>
    </w:p>
    <w:p w14:paraId="691884E6" w14:textId="77777777" w:rsidR="00527B10" w:rsidRPr="00667404" w:rsidRDefault="00527B10" w:rsidP="00527B10">
      <w:pPr>
        <w:numPr>
          <w:ilvl w:val="0"/>
          <w:numId w:val="14"/>
        </w:numPr>
        <w:spacing w:after="0"/>
      </w:pPr>
      <w:hyperlink r:id="rId9" w:tgtFrame="_new" w:history="1">
        <w:proofErr w:type="spellStart"/>
        <w:r w:rsidRPr="00667404">
          <w:rPr>
            <w:rStyle w:val="Hyperlink"/>
          </w:rPr>
          <w:t>Fisheries</w:t>
        </w:r>
        <w:proofErr w:type="spellEnd"/>
        <w:r w:rsidRPr="00667404">
          <w:rPr>
            <w:rStyle w:val="Hyperlink"/>
          </w:rPr>
          <w:t xml:space="preserve"> and Oceans Canada – Licensgebyrer</w:t>
        </w:r>
      </w:hyperlink>
    </w:p>
    <w:p w14:paraId="6CAF53B4" w14:textId="77777777" w:rsidR="00527B10" w:rsidRPr="00667404" w:rsidRDefault="00527B10" w:rsidP="00527B10">
      <w:pPr>
        <w:numPr>
          <w:ilvl w:val="0"/>
          <w:numId w:val="14"/>
        </w:numPr>
        <w:spacing w:after="0"/>
      </w:pPr>
      <w:hyperlink r:id="rId10" w:tgtFrame="_new" w:history="1">
        <w:proofErr w:type="spellStart"/>
        <w:r w:rsidRPr="00667404">
          <w:rPr>
            <w:rStyle w:val="Hyperlink"/>
          </w:rPr>
          <w:t>Fisheries</w:t>
        </w:r>
        <w:proofErr w:type="spellEnd"/>
        <w:r w:rsidRPr="00667404">
          <w:rPr>
            <w:rStyle w:val="Hyperlink"/>
          </w:rPr>
          <w:t xml:space="preserve"> and Oceans Canada – Kommercielt rejefiskeri</w:t>
        </w:r>
      </w:hyperlink>
    </w:p>
    <w:p w14:paraId="1D2B0CAA" w14:textId="77777777" w:rsidR="00527B10" w:rsidRPr="00667404" w:rsidRDefault="00000000" w:rsidP="00527B10">
      <w:pPr>
        <w:spacing w:after="0"/>
      </w:pPr>
      <w:r>
        <w:pict w14:anchorId="545CDC08">
          <v:rect id="_x0000_i1036" style="width:0;height:1.5pt" o:hralign="center" o:hrstd="t" o:hr="t" fillcolor="#a0a0a0" stroked="f"/>
        </w:pict>
      </w:r>
    </w:p>
    <w:p w14:paraId="17919B5E" w14:textId="77777777" w:rsidR="00527B10" w:rsidRPr="00667404" w:rsidRDefault="00527B10" w:rsidP="00527B10">
      <w:pPr>
        <w:spacing w:after="0"/>
      </w:pPr>
      <w:r w:rsidRPr="00667404">
        <w:t>Det er vigtigt for ejere af rejetrawlere at være opmærksomme på de gældende gebyrer og krav for at sikre overholdelse af lovgivningen og undgå sanktioner.</w:t>
      </w:r>
    </w:p>
    <w:p w14:paraId="57F62E1D" w14:textId="77777777" w:rsidR="00527B10" w:rsidRDefault="00527B10" w:rsidP="00EE1A66">
      <w:pPr>
        <w:spacing w:after="0"/>
      </w:pPr>
    </w:p>
    <w:sectPr w:rsidR="00527B10" w:rsidSect="00527B10">
      <w:pgSz w:w="11906" w:h="16838"/>
      <w:pgMar w:top="1701"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1F3"/>
    <w:multiLevelType w:val="multilevel"/>
    <w:tmpl w:val="72EA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163EB"/>
    <w:multiLevelType w:val="hybridMultilevel"/>
    <w:tmpl w:val="D9FE9276"/>
    <w:lvl w:ilvl="0" w:tplc="592C7992">
      <w:start w:val="1"/>
      <w:numFmt w:val="bullet"/>
      <w:lvlText w:val="•"/>
      <w:lvlJc w:val="left"/>
      <w:pPr>
        <w:tabs>
          <w:tab w:val="num" w:pos="720"/>
        </w:tabs>
        <w:ind w:left="720" w:hanging="360"/>
      </w:pPr>
      <w:rPr>
        <w:rFonts w:ascii="Times New Roman" w:hAnsi="Times New Roman" w:hint="default"/>
      </w:rPr>
    </w:lvl>
    <w:lvl w:ilvl="1" w:tplc="6B089B3E" w:tentative="1">
      <w:start w:val="1"/>
      <w:numFmt w:val="bullet"/>
      <w:lvlText w:val="•"/>
      <w:lvlJc w:val="left"/>
      <w:pPr>
        <w:tabs>
          <w:tab w:val="num" w:pos="1440"/>
        </w:tabs>
        <w:ind w:left="1440" w:hanging="360"/>
      </w:pPr>
      <w:rPr>
        <w:rFonts w:ascii="Times New Roman" w:hAnsi="Times New Roman" w:hint="default"/>
      </w:rPr>
    </w:lvl>
    <w:lvl w:ilvl="2" w:tplc="337457DC" w:tentative="1">
      <w:start w:val="1"/>
      <w:numFmt w:val="bullet"/>
      <w:lvlText w:val="•"/>
      <w:lvlJc w:val="left"/>
      <w:pPr>
        <w:tabs>
          <w:tab w:val="num" w:pos="2160"/>
        </w:tabs>
        <w:ind w:left="2160" w:hanging="360"/>
      </w:pPr>
      <w:rPr>
        <w:rFonts w:ascii="Times New Roman" w:hAnsi="Times New Roman" w:hint="default"/>
      </w:rPr>
    </w:lvl>
    <w:lvl w:ilvl="3" w:tplc="0802A6E2" w:tentative="1">
      <w:start w:val="1"/>
      <w:numFmt w:val="bullet"/>
      <w:lvlText w:val="•"/>
      <w:lvlJc w:val="left"/>
      <w:pPr>
        <w:tabs>
          <w:tab w:val="num" w:pos="2880"/>
        </w:tabs>
        <w:ind w:left="2880" w:hanging="360"/>
      </w:pPr>
      <w:rPr>
        <w:rFonts w:ascii="Times New Roman" w:hAnsi="Times New Roman" w:hint="default"/>
      </w:rPr>
    </w:lvl>
    <w:lvl w:ilvl="4" w:tplc="C4FA43E0" w:tentative="1">
      <w:start w:val="1"/>
      <w:numFmt w:val="bullet"/>
      <w:lvlText w:val="•"/>
      <w:lvlJc w:val="left"/>
      <w:pPr>
        <w:tabs>
          <w:tab w:val="num" w:pos="3600"/>
        </w:tabs>
        <w:ind w:left="3600" w:hanging="360"/>
      </w:pPr>
      <w:rPr>
        <w:rFonts w:ascii="Times New Roman" w:hAnsi="Times New Roman" w:hint="default"/>
      </w:rPr>
    </w:lvl>
    <w:lvl w:ilvl="5" w:tplc="3B7A30D6" w:tentative="1">
      <w:start w:val="1"/>
      <w:numFmt w:val="bullet"/>
      <w:lvlText w:val="•"/>
      <w:lvlJc w:val="left"/>
      <w:pPr>
        <w:tabs>
          <w:tab w:val="num" w:pos="4320"/>
        </w:tabs>
        <w:ind w:left="4320" w:hanging="360"/>
      </w:pPr>
      <w:rPr>
        <w:rFonts w:ascii="Times New Roman" w:hAnsi="Times New Roman" w:hint="default"/>
      </w:rPr>
    </w:lvl>
    <w:lvl w:ilvl="6" w:tplc="EDAA5BA6" w:tentative="1">
      <w:start w:val="1"/>
      <w:numFmt w:val="bullet"/>
      <w:lvlText w:val="•"/>
      <w:lvlJc w:val="left"/>
      <w:pPr>
        <w:tabs>
          <w:tab w:val="num" w:pos="5040"/>
        </w:tabs>
        <w:ind w:left="5040" w:hanging="360"/>
      </w:pPr>
      <w:rPr>
        <w:rFonts w:ascii="Times New Roman" w:hAnsi="Times New Roman" w:hint="default"/>
      </w:rPr>
    </w:lvl>
    <w:lvl w:ilvl="7" w:tplc="7FDA3C16" w:tentative="1">
      <w:start w:val="1"/>
      <w:numFmt w:val="bullet"/>
      <w:lvlText w:val="•"/>
      <w:lvlJc w:val="left"/>
      <w:pPr>
        <w:tabs>
          <w:tab w:val="num" w:pos="5760"/>
        </w:tabs>
        <w:ind w:left="5760" w:hanging="360"/>
      </w:pPr>
      <w:rPr>
        <w:rFonts w:ascii="Times New Roman" w:hAnsi="Times New Roman" w:hint="default"/>
      </w:rPr>
    </w:lvl>
    <w:lvl w:ilvl="8" w:tplc="75386A1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E25934"/>
    <w:multiLevelType w:val="multilevel"/>
    <w:tmpl w:val="F2AEB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D0FA1"/>
    <w:multiLevelType w:val="multilevel"/>
    <w:tmpl w:val="A018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100E3"/>
    <w:multiLevelType w:val="multilevel"/>
    <w:tmpl w:val="7454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03B87"/>
    <w:multiLevelType w:val="multilevel"/>
    <w:tmpl w:val="B6C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54292"/>
    <w:multiLevelType w:val="hybridMultilevel"/>
    <w:tmpl w:val="7F94DE7E"/>
    <w:lvl w:ilvl="0" w:tplc="0406000F">
      <w:start w:val="1"/>
      <w:numFmt w:val="decimal"/>
      <w:lvlText w:val="%1."/>
      <w:lvlJc w:val="left"/>
      <w:pPr>
        <w:ind w:left="720" w:hanging="360"/>
      </w:pPr>
    </w:lvl>
    <w:lvl w:ilvl="1" w:tplc="0414B47E">
      <w:numFmt w:val="bullet"/>
      <w:lvlText w:val="-"/>
      <w:lvlJc w:val="left"/>
      <w:pPr>
        <w:ind w:left="1440" w:hanging="360"/>
      </w:pPr>
      <w:rPr>
        <w:rFonts w:ascii="Aptos" w:eastAsiaTheme="minorHAnsi" w:hAnsi="Aptos" w:cstheme="minorBidi"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BE27CCF"/>
    <w:multiLevelType w:val="multilevel"/>
    <w:tmpl w:val="B964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77CE5"/>
    <w:multiLevelType w:val="multilevel"/>
    <w:tmpl w:val="6A68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05752"/>
    <w:multiLevelType w:val="multilevel"/>
    <w:tmpl w:val="44B0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467E3"/>
    <w:multiLevelType w:val="multilevel"/>
    <w:tmpl w:val="7D24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6497C"/>
    <w:multiLevelType w:val="multilevel"/>
    <w:tmpl w:val="CC72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B5C31"/>
    <w:multiLevelType w:val="hybridMultilevel"/>
    <w:tmpl w:val="1BB0A614"/>
    <w:lvl w:ilvl="0" w:tplc="CA688C24">
      <w:start w:val="1"/>
      <w:numFmt w:val="bullet"/>
      <w:lvlText w:val="-"/>
      <w:lvlJc w:val="left"/>
      <w:pPr>
        <w:tabs>
          <w:tab w:val="num" w:pos="720"/>
        </w:tabs>
        <w:ind w:left="720" w:hanging="360"/>
      </w:pPr>
      <w:rPr>
        <w:rFonts w:ascii="Times New Roman" w:hAnsi="Times New Roman" w:hint="default"/>
      </w:rPr>
    </w:lvl>
    <w:lvl w:ilvl="1" w:tplc="D8606A92">
      <w:start w:val="1"/>
      <w:numFmt w:val="bullet"/>
      <w:lvlText w:val="-"/>
      <w:lvlJc w:val="left"/>
      <w:pPr>
        <w:tabs>
          <w:tab w:val="num" w:pos="1440"/>
        </w:tabs>
        <w:ind w:left="1440" w:hanging="360"/>
      </w:pPr>
      <w:rPr>
        <w:rFonts w:ascii="Times New Roman" w:hAnsi="Times New Roman" w:hint="default"/>
      </w:rPr>
    </w:lvl>
    <w:lvl w:ilvl="2" w:tplc="BEB26996" w:tentative="1">
      <w:start w:val="1"/>
      <w:numFmt w:val="bullet"/>
      <w:lvlText w:val="-"/>
      <w:lvlJc w:val="left"/>
      <w:pPr>
        <w:tabs>
          <w:tab w:val="num" w:pos="2160"/>
        </w:tabs>
        <w:ind w:left="2160" w:hanging="360"/>
      </w:pPr>
      <w:rPr>
        <w:rFonts w:ascii="Times New Roman" w:hAnsi="Times New Roman" w:hint="default"/>
      </w:rPr>
    </w:lvl>
    <w:lvl w:ilvl="3" w:tplc="3D94B04C" w:tentative="1">
      <w:start w:val="1"/>
      <w:numFmt w:val="bullet"/>
      <w:lvlText w:val="-"/>
      <w:lvlJc w:val="left"/>
      <w:pPr>
        <w:tabs>
          <w:tab w:val="num" w:pos="2880"/>
        </w:tabs>
        <w:ind w:left="2880" w:hanging="360"/>
      </w:pPr>
      <w:rPr>
        <w:rFonts w:ascii="Times New Roman" w:hAnsi="Times New Roman" w:hint="default"/>
      </w:rPr>
    </w:lvl>
    <w:lvl w:ilvl="4" w:tplc="DBA605C0" w:tentative="1">
      <w:start w:val="1"/>
      <w:numFmt w:val="bullet"/>
      <w:lvlText w:val="-"/>
      <w:lvlJc w:val="left"/>
      <w:pPr>
        <w:tabs>
          <w:tab w:val="num" w:pos="3600"/>
        </w:tabs>
        <w:ind w:left="3600" w:hanging="360"/>
      </w:pPr>
      <w:rPr>
        <w:rFonts w:ascii="Times New Roman" w:hAnsi="Times New Roman" w:hint="default"/>
      </w:rPr>
    </w:lvl>
    <w:lvl w:ilvl="5" w:tplc="DCB4611E" w:tentative="1">
      <w:start w:val="1"/>
      <w:numFmt w:val="bullet"/>
      <w:lvlText w:val="-"/>
      <w:lvlJc w:val="left"/>
      <w:pPr>
        <w:tabs>
          <w:tab w:val="num" w:pos="4320"/>
        </w:tabs>
        <w:ind w:left="4320" w:hanging="360"/>
      </w:pPr>
      <w:rPr>
        <w:rFonts w:ascii="Times New Roman" w:hAnsi="Times New Roman" w:hint="default"/>
      </w:rPr>
    </w:lvl>
    <w:lvl w:ilvl="6" w:tplc="1884FA6C" w:tentative="1">
      <w:start w:val="1"/>
      <w:numFmt w:val="bullet"/>
      <w:lvlText w:val="-"/>
      <w:lvlJc w:val="left"/>
      <w:pPr>
        <w:tabs>
          <w:tab w:val="num" w:pos="5040"/>
        </w:tabs>
        <w:ind w:left="5040" w:hanging="360"/>
      </w:pPr>
      <w:rPr>
        <w:rFonts w:ascii="Times New Roman" w:hAnsi="Times New Roman" w:hint="default"/>
      </w:rPr>
    </w:lvl>
    <w:lvl w:ilvl="7" w:tplc="B74A0EE8" w:tentative="1">
      <w:start w:val="1"/>
      <w:numFmt w:val="bullet"/>
      <w:lvlText w:val="-"/>
      <w:lvlJc w:val="left"/>
      <w:pPr>
        <w:tabs>
          <w:tab w:val="num" w:pos="5760"/>
        </w:tabs>
        <w:ind w:left="5760" w:hanging="360"/>
      </w:pPr>
      <w:rPr>
        <w:rFonts w:ascii="Times New Roman" w:hAnsi="Times New Roman" w:hint="default"/>
      </w:rPr>
    </w:lvl>
    <w:lvl w:ilvl="8" w:tplc="1D26A9B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D65A46"/>
    <w:multiLevelType w:val="hybridMultilevel"/>
    <w:tmpl w:val="D37E2AE0"/>
    <w:lvl w:ilvl="0" w:tplc="4822D022">
      <w:start w:val="1"/>
      <w:numFmt w:val="bullet"/>
      <w:lvlText w:val="•"/>
      <w:lvlJc w:val="left"/>
      <w:pPr>
        <w:tabs>
          <w:tab w:val="num" w:pos="720"/>
        </w:tabs>
        <w:ind w:left="720" w:hanging="360"/>
      </w:pPr>
      <w:rPr>
        <w:rFonts w:ascii="Times New Roman" w:hAnsi="Times New Roman" w:hint="default"/>
      </w:rPr>
    </w:lvl>
    <w:lvl w:ilvl="1" w:tplc="4704BBF4" w:tentative="1">
      <w:start w:val="1"/>
      <w:numFmt w:val="bullet"/>
      <w:lvlText w:val="•"/>
      <w:lvlJc w:val="left"/>
      <w:pPr>
        <w:tabs>
          <w:tab w:val="num" w:pos="1440"/>
        </w:tabs>
        <w:ind w:left="1440" w:hanging="360"/>
      </w:pPr>
      <w:rPr>
        <w:rFonts w:ascii="Times New Roman" w:hAnsi="Times New Roman" w:hint="default"/>
      </w:rPr>
    </w:lvl>
    <w:lvl w:ilvl="2" w:tplc="0D3637D4" w:tentative="1">
      <w:start w:val="1"/>
      <w:numFmt w:val="bullet"/>
      <w:lvlText w:val="•"/>
      <w:lvlJc w:val="left"/>
      <w:pPr>
        <w:tabs>
          <w:tab w:val="num" w:pos="2160"/>
        </w:tabs>
        <w:ind w:left="2160" w:hanging="360"/>
      </w:pPr>
      <w:rPr>
        <w:rFonts w:ascii="Times New Roman" w:hAnsi="Times New Roman" w:hint="default"/>
      </w:rPr>
    </w:lvl>
    <w:lvl w:ilvl="3" w:tplc="43F20162" w:tentative="1">
      <w:start w:val="1"/>
      <w:numFmt w:val="bullet"/>
      <w:lvlText w:val="•"/>
      <w:lvlJc w:val="left"/>
      <w:pPr>
        <w:tabs>
          <w:tab w:val="num" w:pos="2880"/>
        </w:tabs>
        <w:ind w:left="2880" w:hanging="360"/>
      </w:pPr>
      <w:rPr>
        <w:rFonts w:ascii="Times New Roman" w:hAnsi="Times New Roman" w:hint="default"/>
      </w:rPr>
    </w:lvl>
    <w:lvl w:ilvl="4" w:tplc="754A17DA" w:tentative="1">
      <w:start w:val="1"/>
      <w:numFmt w:val="bullet"/>
      <w:lvlText w:val="•"/>
      <w:lvlJc w:val="left"/>
      <w:pPr>
        <w:tabs>
          <w:tab w:val="num" w:pos="3600"/>
        </w:tabs>
        <w:ind w:left="3600" w:hanging="360"/>
      </w:pPr>
      <w:rPr>
        <w:rFonts w:ascii="Times New Roman" w:hAnsi="Times New Roman" w:hint="default"/>
      </w:rPr>
    </w:lvl>
    <w:lvl w:ilvl="5" w:tplc="59904C90" w:tentative="1">
      <w:start w:val="1"/>
      <w:numFmt w:val="bullet"/>
      <w:lvlText w:val="•"/>
      <w:lvlJc w:val="left"/>
      <w:pPr>
        <w:tabs>
          <w:tab w:val="num" w:pos="4320"/>
        </w:tabs>
        <w:ind w:left="4320" w:hanging="360"/>
      </w:pPr>
      <w:rPr>
        <w:rFonts w:ascii="Times New Roman" w:hAnsi="Times New Roman" w:hint="default"/>
      </w:rPr>
    </w:lvl>
    <w:lvl w:ilvl="6" w:tplc="AAF8989E" w:tentative="1">
      <w:start w:val="1"/>
      <w:numFmt w:val="bullet"/>
      <w:lvlText w:val="•"/>
      <w:lvlJc w:val="left"/>
      <w:pPr>
        <w:tabs>
          <w:tab w:val="num" w:pos="5040"/>
        </w:tabs>
        <w:ind w:left="5040" w:hanging="360"/>
      </w:pPr>
      <w:rPr>
        <w:rFonts w:ascii="Times New Roman" w:hAnsi="Times New Roman" w:hint="default"/>
      </w:rPr>
    </w:lvl>
    <w:lvl w:ilvl="7" w:tplc="65864D26" w:tentative="1">
      <w:start w:val="1"/>
      <w:numFmt w:val="bullet"/>
      <w:lvlText w:val="•"/>
      <w:lvlJc w:val="left"/>
      <w:pPr>
        <w:tabs>
          <w:tab w:val="num" w:pos="5760"/>
        </w:tabs>
        <w:ind w:left="5760" w:hanging="360"/>
      </w:pPr>
      <w:rPr>
        <w:rFonts w:ascii="Times New Roman" w:hAnsi="Times New Roman" w:hint="default"/>
      </w:rPr>
    </w:lvl>
    <w:lvl w:ilvl="8" w:tplc="FBE4F0F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FBA44EC"/>
    <w:multiLevelType w:val="multilevel"/>
    <w:tmpl w:val="9D5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301960">
    <w:abstractNumId w:val="13"/>
  </w:num>
  <w:num w:numId="2" w16cid:durableId="398673857">
    <w:abstractNumId w:val="12"/>
  </w:num>
  <w:num w:numId="3" w16cid:durableId="555122625">
    <w:abstractNumId w:val="1"/>
  </w:num>
  <w:num w:numId="4" w16cid:durableId="1956717050">
    <w:abstractNumId w:val="6"/>
  </w:num>
  <w:num w:numId="5" w16cid:durableId="1665665028">
    <w:abstractNumId w:val="9"/>
  </w:num>
  <w:num w:numId="6" w16cid:durableId="105127054">
    <w:abstractNumId w:val="7"/>
  </w:num>
  <w:num w:numId="7" w16cid:durableId="121118508">
    <w:abstractNumId w:val="10"/>
  </w:num>
  <w:num w:numId="8" w16cid:durableId="1304041793">
    <w:abstractNumId w:val="4"/>
  </w:num>
  <w:num w:numId="9" w16cid:durableId="2070299367">
    <w:abstractNumId w:val="8"/>
  </w:num>
  <w:num w:numId="10" w16cid:durableId="362831781">
    <w:abstractNumId w:val="11"/>
  </w:num>
  <w:num w:numId="11" w16cid:durableId="1625959915">
    <w:abstractNumId w:val="3"/>
  </w:num>
  <w:num w:numId="12" w16cid:durableId="1938515965">
    <w:abstractNumId w:val="0"/>
  </w:num>
  <w:num w:numId="13" w16cid:durableId="1253051805">
    <w:abstractNumId w:val="5"/>
  </w:num>
  <w:num w:numId="14" w16cid:durableId="1924296842">
    <w:abstractNumId w:val="14"/>
  </w:num>
  <w:num w:numId="15" w16cid:durableId="1069308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66"/>
    <w:rsid w:val="00241E36"/>
    <w:rsid w:val="00333932"/>
    <w:rsid w:val="00363987"/>
    <w:rsid w:val="0038368F"/>
    <w:rsid w:val="00462301"/>
    <w:rsid w:val="00527B10"/>
    <w:rsid w:val="007673DD"/>
    <w:rsid w:val="008A7EEB"/>
    <w:rsid w:val="009E47C8"/>
    <w:rsid w:val="00AF5E54"/>
    <w:rsid w:val="00B52210"/>
    <w:rsid w:val="00CD12DE"/>
    <w:rsid w:val="00DF0770"/>
    <w:rsid w:val="00E279A8"/>
    <w:rsid w:val="00EA5E39"/>
    <w:rsid w:val="00EE1A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A71C"/>
  <w15:chartTrackingRefBased/>
  <w15:docId w15:val="{B19F5717-9CF5-4A0D-BEA8-C6CE35E2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1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E1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E1A6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E1A6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E1A6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E1A6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E1A6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E1A6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E1A6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1A6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E1A6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E1A6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E1A6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E1A6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E1A6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E1A6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E1A6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E1A66"/>
    <w:rPr>
      <w:rFonts w:eastAsiaTheme="majorEastAsia" w:cstheme="majorBidi"/>
      <w:color w:val="272727" w:themeColor="text1" w:themeTint="D8"/>
    </w:rPr>
  </w:style>
  <w:style w:type="paragraph" w:styleId="Titel">
    <w:name w:val="Title"/>
    <w:basedOn w:val="Normal"/>
    <w:next w:val="Normal"/>
    <w:link w:val="TitelTegn"/>
    <w:uiPriority w:val="10"/>
    <w:qFormat/>
    <w:rsid w:val="00EE1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E1A6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E1A6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E1A6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E1A6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E1A66"/>
    <w:rPr>
      <w:i/>
      <w:iCs/>
      <w:color w:val="404040" w:themeColor="text1" w:themeTint="BF"/>
    </w:rPr>
  </w:style>
  <w:style w:type="paragraph" w:styleId="Listeafsnit">
    <w:name w:val="List Paragraph"/>
    <w:basedOn w:val="Normal"/>
    <w:uiPriority w:val="34"/>
    <w:qFormat/>
    <w:rsid w:val="00EE1A66"/>
    <w:pPr>
      <w:ind w:left="720"/>
      <w:contextualSpacing/>
    </w:pPr>
  </w:style>
  <w:style w:type="character" w:styleId="Kraftigfremhvning">
    <w:name w:val="Intense Emphasis"/>
    <w:basedOn w:val="Standardskrifttypeiafsnit"/>
    <w:uiPriority w:val="21"/>
    <w:qFormat/>
    <w:rsid w:val="00EE1A66"/>
    <w:rPr>
      <w:i/>
      <w:iCs/>
      <w:color w:val="0F4761" w:themeColor="accent1" w:themeShade="BF"/>
    </w:rPr>
  </w:style>
  <w:style w:type="paragraph" w:styleId="Strktcitat">
    <w:name w:val="Intense Quote"/>
    <w:basedOn w:val="Normal"/>
    <w:next w:val="Normal"/>
    <w:link w:val="StrktcitatTegn"/>
    <w:uiPriority w:val="30"/>
    <w:qFormat/>
    <w:rsid w:val="00EE1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E1A66"/>
    <w:rPr>
      <w:i/>
      <w:iCs/>
      <w:color w:val="0F4761" w:themeColor="accent1" w:themeShade="BF"/>
    </w:rPr>
  </w:style>
  <w:style w:type="character" w:styleId="Kraftighenvisning">
    <w:name w:val="Intense Reference"/>
    <w:basedOn w:val="Standardskrifttypeiafsnit"/>
    <w:uiPriority w:val="32"/>
    <w:qFormat/>
    <w:rsid w:val="00EE1A66"/>
    <w:rPr>
      <w:b/>
      <w:bCs/>
      <w:smallCaps/>
      <w:color w:val="0F4761" w:themeColor="accent1" w:themeShade="BF"/>
      <w:spacing w:val="5"/>
    </w:rPr>
  </w:style>
  <w:style w:type="character" w:styleId="Hyperlink">
    <w:name w:val="Hyperlink"/>
    <w:basedOn w:val="Standardskrifttypeiafsnit"/>
    <w:uiPriority w:val="99"/>
    <w:unhideWhenUsed/>
    <w:rsid w:val="00527B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0167">
      <w:bodyDiv w:val="1"/>
      <w:marLeft w:val="0"/>
      <w:marRight w:val="0"/>
      <w:marTop w:val="0"/>
      <w:marBottom w:val="0"/>
      <w:divBdr>
        <w:top w:val="none" w:sz="0" w:space="0" w:color="auto"/>
        <w:left w:val="none" w:sz="0" w:space="0" w:color="auto"/>
        <w:bottom w:val="none" w:sz="0" w:space="0" w:color="auto"/>
        <w:right w:val="none" w:sz="0" w:space="0" w:color="auto"/>
      </w:divBdr>
    </w:div>
    <w:div w:id="452361229">
      <w:bodyDiv w:val="1"/>
      <w:marLeft w:val="0"/>
      <w:marRight w:val="0"/>
      <w:marTop w:val="0"/>
      <w:marBottom w:val="0"/>
      <w:divBdr>
        <w:top w:val="none" w:sz="0" w:space="0" w:color="auto"/>
        <w:left w:val="none" w:sz="0" w:space="0" w:color="auto"/>
        <w:bottom w:val="none" w:sz="0" w:space="0" w:color="auto"/>
        <w:right w:val="none" w:sz="0" w:space="0" w:color="auto"/>
      </w:divBdr>
    </w:div>
    <w:div w:id="517044444">
      <w:bodyDiv w:val="1"/>
      <w:marLeft w:val="0"/>
      <w:marRight w:val="0"/>
      <w:marTop w:val="0"/>
      <w:marBottom w:val="0"/>
      <w:divBdr>
        <w:top w:val="none" w:sz="0" w:space="0" w:color="auto"/>
        <w:left w:val="none" w:sz="0" w:space="0" w:color="auto"/>
        <w:bottom w:val="none" w:sz="0" w:space="0" w:color="auto"/>
        <w:right w:val="none" w:sz="0" w:space="0" w:color="auto"/>
      </w:divBdr>
    </w:div>
    <w:div w:id="908460970">
      <w:bodyDiv w:val="1"/>
      <w:marLeft w:val="0"/>
      <w:marRight w:val="0"/>
      <w:marTop w:val="0"/>
      <w:marBottom w:val="0"/>
      <w:divBdr>
        <w:top w:val="none" w:sz="0" w:space="0" w:color="auto"/>
        <w:left w:val="none" w:sz="0" w:space="0" w:color="auto"/>
        <w:bottom w:val="none" w:sz="0" w:space="0" w:color="auto"/>
        <w:right w:val="none" w:sz="0" w:space="0" w:color="auto"/>
      </w:divBdr>
    </w:div>
    <w:div w:id="1038892363">
      <w:bodyDiv w:val="1"/>
      <w:marLeft w:val="0"/>
      <w:marRight w:val="0"/>
      <w:marTop w:val="0"/>
      <w:marBottom w:val="0"/>
      <w:divBdr>
        <w:top w:val="none" w:sz="0" w:space="0" w:color="auto"/>
        <w:left w:val="none" w:sz="0" w:space="0" w:color="auto"/>
        <w:bottom w:val="none" w:sz="0" w:space="0" w:color="auto"/>
        <w:right w:val="none" w:sz="0" w:space="0" w:color="auto"/>
      </w:divBdr>
      <w:divsChild>
        <w:div w:id="1419600629">
          <w:marLeft w:val="547"/>
          <w:marRight w:val="0"/>
          <w:marTop w:val="86"/>
          <w:marBottom w:val="0"/>
          <w:divBdr>
            <w:top w:val="none" w:sz="0" w:space="0" w:color="auto"/>
            <w:left w:val="none" w:sz="0" w:space="0" w:color="auto"/>
            <w:bottom w:val="none" w:sz="0" w:space="0" w:color="auto"/>
            <w:right w:val="none" w:sz="0" w:space="0" w:color="auto"/>
          </w:divBdr>
        </w:div>
        <w:div w:id="442575396">
          <w:marLeft w:val="547"/>
          <w:marRight w:val="0"/>
          <w:marTop w:val="86"/>
          <w:marBottom w:val="0"/>
          <w:divBdr>
            <w:top w:val="none" w:sz="0" w:space="0" w:color="auto"/>
            <w:left w:val="none" w:sz="0" w:space="0" w:color="auto"/>
            <w:bottom w:val="none" w:sz="0" w:space="0" w:color="auto"/>
            <w:right w:val="none" w:sz="0" w:space="0" w:color="auto"/>
          </w:divBdr>
        </w:div>
        <w:div w:id="462506065">
          <w:marLeft w:val="547"/>
          <w:marRight w:val="0"/>
          <w:marTop w:val="86"/>
          <w:marBottom w:val="0"/>
          <w:divBdr>
            <w:top w:val="none" w:sz="0" w:space="0" w:color="auto"/>
            <w:left w:val="none" w:sz="0" w:space="0" w:color="auto"/>
            <w:bottom w:val="none" w:sz="0" w:space="0" w:color="auto"/>
            <w:right w:val="none" w:sz="0" w:space="0" w:color="auto"/>
          </w:divBdr>
        </w:div>
        <w:div w:id="1120681017">
          <w:marLeft w:val="547"/>
          <w:marRight w:val="0"/>
          <w:marTop w:val="86"/>
          <w:marBottom w:val="0"/>
          <w:divBdr>
            <w:top w:val="none" w:sz="0" w:space="0" w:color="auto"/>
            <w:left w:val="none" w:sz="0" w:space="0" w:color="auto"/>
            <w:bottom w:val="none" w:sz="0" w:space="0" w:color="auto"/>
            <w:right w:val="none" w:sz="0" w:space="0" w:color="auto"/>
          </w:divBdr>
        </w:div>
        <w:div w:id="855848534">
          <w:marLeft w:val="1267"/>
          <w:marRight w:val="0"/>
          <w:marTop w:val="86"/>
          <w:marBottom w:val="0"/>
          <w:divBdr>
            <w:top w:val="none" w:sz="0" w:space="0" w:color="auto"/>
            <w:left w:val="none" w:sz="0" w:space="0" w:color="auto"/>
            <w:bottom w:val="none" w:sz="0" w:space="0" w:color="auto"/>
            <w:right w:val="none" w:sz="0" w:space="0" w:color="auto"/>
          </w:divBdr>
        </w:div>
        <w:div w:id="118688108">
          <w:marLeft w:val="1267"/>
          <w:marRight w:val="0"/>
          <w:marTop w:val="86"/>
          <w:marBottom w:val="0"/>
          <w:divBdr>
            <w:top w:val="none" w:sz="0" w:space="0" w:color="auto"/>
            <w:left w:val="none" w:sz="0" w:space="0" w:color="auto"/>
            <w:bottom w:val="none" w:sz="0" w:space="0" w:color="auto"/>
            <w:right w:val="none" w:sz="0" w:space="0" w:color="auto"/>
          </w:divBdr>
        </w:div>
        <w:div w:id="1657606943">
          <w:marLeft w:val="547"/>
          <w:marRight w:val="0"/>
          <w:marTop w:val="86"/>
          <w:marBottom w:val="0"/>
          <w:divBdr>
            <w:top w:val="none" w:sz="0" w:space="0" w:color="auto"/>
            <w:left w:val="none" w:sz="0" w:space="0" w:color="auto"/>
            <w:bottom w:val="none" w:sz="0" w:space="0" w:color="auto"/>
            <w:right w:val="none" w:sz="0" w:space="0" w:color="auto"/>
          </w:divBdr>
        </w:div>
        <w:div w:id="417290293">
          <w:marLeft w:val="547"/>
          <w:marRight w:val="0"/>
          <w:marTop w:val="86"/>
          <w:marBottom w:val="0"/>
          <w:divBdr>
            <w:top w:val="none" w:sz="0" w:space="0" w:color="auto"/>
            <w:left w:val="none" w:sz="0" w:space="0" w:color="auto"/>
            <w:bottom w:val="none" w:sz="0" w:space="0" w:color="auto"/>
            <w:right w:val="none" w:sz="0" w:space="0" w:color="auto"/>
          </w:divBdr>
        </w:div>
        <w:div w:id="26879727">
          <w:marLeft w:val="547"/>
          <w:marRight w:val="0"/>
          <w:marTop w:val="86"/>
          <w:marBottom w:val="0"/>
          <w:divBdr>
            <w:top w:val="none" w:sz="0" w:space="0" w:color="auto"/>
            <w:left w:val="none" w:sz="0" w:space="0" w:color="auto"/>
            <w:bottom w:val="none" w:sz="0" w:space="0" w:color="auto"/>
            <w:right w:val="none" w:sz="0" w:space="0" w:color="auto"/>
          </w:divBdr>
        </w:div>
      </w:divsChild>
    </w:div>
    <w:div w:id="1232158743">
      <w:bodyDiv w:val="1"/>
      <w:marLeft w:val="0"/>
      <w:marRight w:val="0"/>
      <w:marTop w:val="0"/>
      <w:marBottom w:val="0"/>
      <w:divBdr>
        <w:top w:val="none" w:sz="0" w:space="0" w:color="auto"/>
        <w:left w:val="none" w:sz="0" w:space="0" w:color="auto"/>
        <w:bottom w:val="none" w:sz="0" w:space="0" w:color="auto"/>
        <w:right w:val="none" w:sz="0" w:space="0" w:color="auto"/>
      </w:divBdr>
    </w:div>
    <w:div w:id="1317804263">
      <w:bodyDiv w:val="1"/>
      <w:marLeft w:val="0"/>
      <w:marRight w:val="0"/>
      <w:marTop w:val="0"/>
      <w:marBottom w:val="0"/>
      <w:divBdr>
        <w:top w:val="none" w:sz="0" w:space="0" w:color="auto"/>
        <w:left w:val="none" w:sz="0" w:space="0" w:color="auto"/>
        <w:bottom w:val="none" w:sz="0" w:space="0" w:color="auto"/>
        <w:right w:val="none" w:sz="0" w:space="0" w:color="auto"/>
      </w:divBdr>
    </w:div>
    <w:div w:id="1527406593">
      <w:bodyDiv w:val="1"/>
      <w:marLeft w:val="0"/>
      <w:marRight w:val="0"/>
      <w:marTop w:val="0"/>
      <w:marBottom w:val="0"/>
      <w:divBdr>
        <w:top w:val="none" w:sz="0" w:space="0" w:color="auto"/>
        <w:left w:val="none" w:sz="0" w:space="0" w:color="auto"/>
        <w:bottom w:val="none" w:sz="0" w:space="0" w:color="auto"/>
        <w:right w:val="none" w:sz="0" w:space="0" w:color="auto"/>
      </w:divBdr>
    </w:div>
    <w:div w:id="1701780546">
      <w:bodyDiv w:val="1"/>
      <w:marLeft w:val="0"/>
      <w:marRight w:val="0"/>
      <w:marTop w:val="0"/>
      <w:marBottom w:val="0"/>
      <w:divBdr>
        <w:top w:val="none" w:sz="0" w:space="0" w:color="auto"/>
        <w:left w:val="none" w:sz="0" w:space="0" w:color="auto"/>
        <w:bottom w:val="none" w:sz="0" w:space="0" w:color="auto"/>
        <w:right w:val="none" w:sz="0" w:space="0" w:color="auto"/>
      </w:divBdr>
    </w:div>
    <w:div w:id="18981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nd.is/en/fisheries-resource-rent" TargetMode="External"/><Relationship Id="rId3" Type="http://schemas.openxmlformats.org/officeDocument/2006/relationships/settings" Target="settings.xml"/><Relationship Id="rId7" Type="http://schemas.openxmlformats.org/officeDocument/2006/relationships/hyperlink" Target="https://www.rafisklaget.no/fiskipedia/forklaring-trekk-paa-fiskers-avreg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skeridir.no/Yrkesfiske/Regelverk-og-reguleringer" TargetMode="External"/><Relationship Id="rId11" Type="http://schemas.openxmlformats.org/officeDocument/2006/relationships/fontTable" Target="fontTable.xml"/><Relationship Id="rId5" Type="http://schemas.openxmlformats.org/officeDocument/2006/relationships/hyperlink" Target="https://aka.gl/nyheder/2025/03/fiskeriafgiftssatser-2-kvartal?sc_lang=da" TargetMode="External"/><Relationship Id="rId10" Type="http://schemas.openxmlformats.org/officeDocument/2006/relationships/hyperlink" Target="https://www.dfo-mpo.gc.ca/fisheries-peches/commercial-commerciale/atl-arc/shrimp-crevette-eng.html" TargetMode="External"/><Relationship Id="rId4" Type="http://schemas.openxmlformats.org/officeDocument/2006/relationships/webSettings" Target="webSettings.xml"/><Relationship Id="rId9" Type="http://schemas.openxmlformats.org/officeDocument/2006/relationships/hyperlink" Target="https://www.pac.dfo-mpo.gc.ca/fm-gp/licence-permis/fees-frais-eng.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3341</Words>
  <Characters>20384</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Sørensen | Grønlands Erhverv</dc:creator>
  <cp:keywords/>
  <dc:description/>
  <cp:lastModifiedBy>Bent Sørensen | Grønlands Erhverv</cp:lastModifiedBy>
  <cp:revision>2</cp:revision>
  <dcterms:created xsi:type="dcterms:W3CDTF">2025-12-05T12:55:00Z</dcterms:created>
  <dcterms:modified xsi:type="dcterms:W3CDTF">2025-12-05T12:55:00Z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 dokumentnummer">
    <vt:lpwstr>D25-4533</vt:lpwstr>
  </property>
  <property fmtid="{D5CDD505-2E9C-101B-9397-08002B2CF9AE}" pid="3" name="DN_D Modtager">
    <vt:lpwstr/>
  </property>
  <property fmtid="{D5CDD505-2E9C-101B-9397-08002B2CF9AE}" pid="4" name="DN_D Afsendelsesdato">
    <vt:lpwstr>17. juni 2025</vt:lpwstr>
  </property>
  <property fmtid="{D5CDD505-2E9C-101B-9397-08002B2CF9AE}" pid="5" name="DN_D_ Afsender navn">
    <vt:lpwstr>Bent Sørensen | Grønlands Erhverv</vt:lpwstr>
  </property>
  <property fmtid="{D5CDD505-2E9C-101B-9397-08002B2CF9AE}" pid="6" name="DN_D_Afsender titel">
    <vt:lpwstr/>
  </property>
  <property fmtid="{D5CDD505-2E9C-101B-9397-08002B2CF9AE}" pid="7" name="DN_D Dokument titel">
    <vt:lpwstr>Referat - Møde mellem Fiskeriminister Peter Borg og BUFEGE 180625</vt:lpwstr>
  </property>
  <property fmtid="{D5CDD505-2E9C-101B-9397-08002B2CF9AE}" pid="8" name="DN_D_email">
    <vt:lpwstr/>
  </property>
  <property fmtid="{D5CDD505-2E9C-101B-9397-08002B2CF9AE}" pid="9" name="sagsnummer">
    <vt:lpwstr>S25-163</vt:lpwstr>
  </property>
  <property fmtid="{D5CDD505-2E9C-101B-9397-08002B2CF9AE}" pid="10" name="Sagstitel">
    <vt:lpwstr>2025</vt:lpwstr>
  </property>
</Properties>
</file>